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F102C" w14:textId="77777777" w:rsidR="00D03535" w:rsidRDefault="00D03535" w:rsidP="00D03535">
      <w:pPr>
        <w:jc w:val="center"/>
        <w:rPr>
          <w:rFonts w:ascii="Arial" w:hAnsi="Arial" w:cs="Verdana"/>
          <w:b/>
          <w:bCs/>
          <w:sz w:val="22"/>
          <w:szCs w:val="22"/>
        </w:rPr>
      </w:pPr>
      <w:r>
        <w:rPr>
          <w:rFonts w:ascii="Arial" w:hAnsi="Arial" w:cs="Verdana"/>
          <w:b/>
          <w:bCs/>
          <w:sz w:val="22"/>
          <w:szCs w:val="22"/>
        </w:rPr>
        <w:t xml:space="preserve">INFORMACJA DODATKOWA DO SPRAWOZDANIA FINANSOWEGO </w:t>
      </w:r>
    </w:p>
    <w:p w14:paraId="40AC2966" w14:textId="152AC98B" w:rsidR="00D03535" w:rsidRDefault="00D03535" w:rsidP="00D03535">
      <w:pPr>
        <w:jc w:val="center"/>
        <w:rPr>
          <w:rFonts w:ascii="Arial" w:hAnsi="Arial" w:cs="Verdana"/>
          <w:sz w:val="22"/>
          <w:szCs w:val="22"/>
        </w:rPr>
      </w:pPr>
      <w:r>
        <w:rPr>
          <w:rFonts w:ascii="Arial" w:hAnsi="Arial" w:cs="Verdana"/>
          <w:b/>
          <w:bCs/>
          <w:sz w:val="22"/>
          <w:szCs w:val="22"/>
        </w:rPr>
        <w:t>ZA 2021 ROK</w:t>
      </w:r>
    </w:p>
    <w:p w14:paraId="27BCF77C" w14:textId="77777777" w:rsidR="00D03535" w:rsidRDefault="00D03535" w:rsidP="00D03535">
      <w:pPr>
        <w:rPr>
          <w:rFonts w:ascii="Arial" w:hAnsi="Arial" w:cs="Verdana"/>
          <w:sz w:val="22"/>
          <w:szCs w:val="22"/>
        </w:rPr>
      </w:pPr>
    </w:p>
    <w:p w14:paraId="176F2A30" w14:textId="77777777" w:rsidR="00D03535" w:rsidRDefault="00D03535" w:rsidP="00D03535">
      <w:pPr>
        <w:rPr>
          <w:rFonts w:ascii="Arial" w:hAnsi="Arial" w:cs="Verdana"/>
          <w:sz w:val="22"/>
          <w:szCs w:val="22"/>
        </w:rPr>
      </w:pPr>
      <w:r>
        <w:rPr>
          <w:rFonts w:ascii="Arial" w:hAnsi="Arial" w:cs="Verdana"/>
          <w:b/>
          <w:bCs/>
          <w:sz w:val="22"/>
          <w:szCs w:val="22"/>
        </w:rPr>
        <w:t>I.</w:t>
      </w:r>
      <w:r>
        <w:rPr>
          <w:rFonts w:ascii="Arial" w:hAnsi="Arial" w:cs="Verdana"/>
          <w:sz w:val="22"/>
          <w:szCs w:val="22"/>
        </w:rPr>
        <w:t xml:space="preserve"> </w:t>
      </w:r>
      <w:r>
        <w:rPr>
          <w:rFonts w:ascii="Arial" w:hAnsi="Arial" w:cs="Verdana"/>
          <w:b/>
          <w:bCs/>
          <w:sz w:val="22"/>
          <w:szCs w:val="22"/>
        </w:rPr>
        <w:t>Wprowadzenie do sprawozdania finansowego</w:t>
      </w:r>
    </w:p>
    <w:p w14:paraId="1EB23A9F" w14:textId="77777777" w:rsidR="00D03535" w:rsidRDefault="00D03535" w:rsidP="00D03535">
      <w:pPr>
        <w:rPr>
          <w:rFonts w:ascii="Arial" w:hAnsi="Arial" w:cs="Verdana"/>
          <w:sz w:val="22"/>
          <w:szCs w:val="22"/>
        </w:rPr>
      </w:pPr>
    </w:p>
    <w:p w14:paraId="367FAEAB" w14:textId="77777777" w:rsidR="00D03535" w:rsidRDefault="00D03535" w:rsidP="00D03535">
      <w:pPr>
        <w:numPr>
          <w:ilvl w:val="0"/>
          <w:numId w:val="1"/>
        </w:numPr>
        <w:rPr>
          <w:rFonts w:ascii="Arial" w:hAnsi="Arial" w:cs="Verdana"/>
          <w:sz w:val="22"/>
          <w:szCs w:val="22"/>
        </w:rPr>
      </w:pPr>
    </w:p>
    <w:p w14:paraId="5B5CA5D8" w14:textId="77777777" w:rsidR="00D03535" w:rsidRDefault="00D03535" w:rsidP="00D03535">
      <w:pPr>
        <w:rPr>
          <w:rFonts w:ascii="Arial" w:hAnsi="Arial" w:cs="Verdana"/>
          <w:sz w:val="22"/>
          <w:szCs w:val="22"/>
        </w:rPr>
      </w:pPr>
      <w:r>
        <w:rPr>
          <w:rFonts w:ascii="Arial" w:hAnsi="Arial" w:cs="Verdana"/>
          <w:sz w:val="22"/>
          <w:szCs w:val="22"/>
        </w:rPr>
        <w:t xml:space="preserve">1.1 Nazwa jednostki </w:t>
      </w:r>
    </w:p>
    <w:p w14:paraId="0C533380" w14:textId="77777777" w:rsidR="00D03535" w:rsidRDefault="00D03535" w:rsidP="00D03535">
      <w:pPr>
        <w:rPr>
          <w:rFonts w:ascii="Arial" w:hAnsi="Arial" w:cs="Verdana"/>
          <w:sz w:val="22"/>
          <w:szCs w:val="22"/>
        </w:rPr>
      </w:pPr>
    </w:p>
    <w:p w14:paraId="6EEB7BC8" w14:textId="77777777" w:rsidR="00D03535" w:rsidRDefault="00D03535" w:rsidP="00D03535">
      <w:pPr>
        <w:rPr>
          <w:rFonts w:ascii="Arial" w:hAnsi="Arial" w:cs="Verdana"/>
          <w:sz w:val="22"/>
          <w:szCs w:val="22"/>
        </w:rPr>
      </w:pPr>
      <w:r>
        <w:rPr>
          <w:rFonts w:ascii="Arial" w:hAnsi="Arial" w:cs="Verdana"/>
          <w:b/>
          <w:i/>
          <w:sz w:val="22"/>
          <w:szCs w:val="22"/>
        </w:rPr>
        <w:tab/>
        <w:t>Ośrodek Pomocy Osobom z Problemami Alkoholowymi w Częstochowie</w:t>
      </w:r>
    </w:p>
    <w:p w14:paraId="5AF89008" w14:textId="77777777" w:rsidR="00D03535" w:rsidRDefault="00D03535" w:rsidP="00D03535">
      <w:pPr>
        <w:rPr>
          <w:rFonts w:ascii="Arial" w:hAnsi="Arial" w:cs="Verdana"/>
          <w:sz w:val="22"/>
          <w:szCs w:val="22"/>
        </w:rPr>
      </w:pPr>
    </w:p>
    <w:p w14:paraId="0CBA5DCC" w14:textId="77777777" w:rsidR="00D03535" w:rsidRDefault="00D03535" w:rsidP="00D03535">
      <w:pPr>
        <w:rPr>
          <w:rFonts w:ascii="Arial" w:hAnsi="Arial" w:cs="Verdana"/>
          <w:sz w:val="22"/>
          <w:szCs w:val="22"/>
        </w:rPr>
      </w:pPr>
      <w:r>
        <w:rPr>
          <w:rFonts w:ascii="Arial" w:hAnsi="Arial"/>
          <w:sz w:val="22"/>
          <w:szCs w:val="22"/>
        </w:rPr>
        <w:t>1.2 Siedziba jednostki</w:t>
      </w:r>
    </w:p>
    <w:p w14:paraId="64AD1B3F" w14:textId="77777777" w:rsidR="00D03535" w:rsidRDefault="00D03535" w:rsidP="00D03535">
      <w:pPr>
        <w:rPr>
          <w:rFonts w:ascii="Arial" w:hAnsi="Arial" w:cs="Verdana"/>
          <w:sz w:val="22"/>
          <w:szCs w:val="22"/>
        </w:rPr>
      </w:pPr>
    </w:p>
    <w:p w14:paraId="5FFB2C4E" w14:textId="77777777" w:rsidR="00D03535" w:rsidRDefault="00D03535" w:rsidP="00D03535">
      <w:pPr>
        <w:rPr>
          <w:rFonts w:ascii="Arial" w:hAnsi="Arial" w:cs="Verdana"/>
          <w:sz w:val="22"/>
          <w:szCs w:val="22"/>
        </w:rPr>
      </w:pPr>
      <w:r>
        <w:rPr>
          <w:rFonts w:ascii="Arial" w:hAnsi="Arial" w:cs="Verdana"/>
          <w:b/>
          <w:i/>
          <w:sz w:val="22"/>
          <w:szCs w:val="22"/>
        </w:rPr>
        <w:tab/>
        <w:t>42-202</w:t>
      </w:r>
      <w:r>
        <w:rPr>
          <w:rFonts w:ascii="Arial" w:hAnsi="Arial" w:cs="Verdana"/>
          <w:b/>
          <w:sz w:val="22"/>
          <w:szCs w:val="22"/>
        </w:rPr>
        <w:t xml:space="preserve"> </w:t>
      </w:r>
      <w:r>
        <w:rPr>
          <w:rFonts w:ascii="Arial" w:hAnsi="Arial" w:cs="Verdana"/>
          <w:b/>
          <w:i/>
          <w:sz w:val="22"/>
          <w:szCs w:val="22"/>
        </w:rPr>
        <w:t>Częstochowa, ul. Sikorskiego 78</w:t>
      </w:r>
    </w:p>
    <w:p w14:paraId="41DFA62B" w14:textId="77777777" w:rsidR="00D03535" w:rsidRDefault="00D03535" w:rsidP="00D03535">
      <w:pPr>
        <w:rPr>
          <w:rFonts w:ascii="Arial" w:hAnsi="Arial" w:cs="Verdana"/>
          <w:sz w:val="22"/>
          <w:szCs w:val="22"/>
        </w:rPr>
      </w:pPr>
    </w:p>
    <w:p w14:paraId="3BF6A6CC" w14:textId="77777777" w:rsidR="00D03535" w:rsidRDefault="00D03535" w:rsidP="00D03535">
      <w:pPr>
        <w:rPr>
          <w:rFonts w:ascii="Arial" w:hAnsi="Arial" w:cs="Verdana"/>
          <w:sz w:val="22"/>
          <w:szCs w:val="22"/>
        </w:rPr>
      </w:pPr>
      <w:r>
        <w:rPr>
          <w:rFonts w:ascii="Arial" w:hAnsi="Arial"/>
          <w:sz w:val="22"/>
          <w:szCs w:val="22"/>
        </w:rPr>
        <w:t xml:space="preserve">1.3 Adres jednostki </w:t>
      </w:r>
    </w:p>
    <w:p w14:paraId="0069BE86" w14:textId="77777777" w:rsidR="00D03535" w:rsidRDefault="00D03535" w:rsidP="00D03535">
      <w:pPr>
        <w:rPr>
          <w:rFonts w:ascii="Arial" w:hAnsi="Arial" w:cs="Verdana"/>
          <w:sz w:val="22"/>
          <w:szCs w:val="22"/>
        </w:rPr>
      </w:pPr>
    </w:p>
    <w:p w14:paraId="73BEC90F" w14:textId="77777777" w:rsidR="00D03535" w:rsidRDefault="00D03535" w:rsidP="00D03535">
      <w:pPr>
        <w:rPr>
          <w:rFonts w:ascii="Arial" w:hAnsi="Arial" w:cs="Verdana"/>
          <w:b/>
          <w:sz w:val="22"/>
          <w:szCs w:val="22"/>
        </w:rPr>
      </w:pPr>
      <w:r>
        <w:rPr>
          <w:rFonts w:ascii="Arial" w:hAnsi="Arial" w:cs="Verdana"/>
          <w:b/>
          <w:i/>
          <w:sz w:val="22"/>
          <w:szCs w:val="22"/>
        </w:rPr>
        <w:tab/>
        <w:t>42-202</w:t>
      </w:r>
      <w:r>
        <w:rPr>
          <w:rFonts w:ascii="Arial" w:hAnsi="Arial" w:cs="Verdana"/>
          <w:b/>
          <w:sz w:val="22"/>
          <w:szCs w:val="22"/>
        </w:rPr>
        <w:t xml:space="preserve"> </w:t>
      </w:r>
      <w:r>
        <w:rPr>
          <w:rFonts w:ascii="Arial" w:hAnsi="Arial" w:cs="Verdana"/>
          <w:b/>
          <w:i/>
          <w:sz w:val="22"/>
          <w:szCs w:val="22"/>
        </w:rPr>
        <w:t>Częstochowa, ul. Sikorskiego 78</w:t>
      </w:r>
    </w:p>
    <w:p w14:paraId="79342EFF" w14:textId="77777777" w:rsidR="00D03535" w:rsidRDefault="00D03535" w:rsidP="00D03535">
      <w:pPr>
        <w:rPr>
          <w:rFonts w:ascii="Arial" w:hAnsi="Arial" w:cs="Verdana"/>
          <w:b/>
          <w:sz w:val="22"/>
          <w:szCs w:val="22"/>
        </w:rPr>
      </w:pPr>
    </w:p>
    <w:p w14:paraId="61FBE019" w14:textId="77777777" w:rsidR="00D03535" w:rsidRDefault="00D03535" w:rsidP="00D03535">
      <w:pPr>
        <w:rPr>
          <w:rFonts w:ascii="Arial" w:hAnsi="Arial" w:cs="Verdana"/>
          <w:sz w:val="22"/>
          <w:szCs w:val="22"/>
        </w:rPr>
      </w:pPr>
      <w:r>
        <w:rPr>
          <w:rFonts w:ascii="Arial" w:hAnsi="Arial"/>
          <w:sz w:val="22"/>
          <w:szCs w:val="22"/>
        </w:rPr>
        <w:t xml:space="preserve">1.4 Podstawowy przedmiot działalności jednostki </w:t>
      </w:r>
    </w:p>
    <w:p w14:paraId="16D11BD7" w14:textId="77777777" w:rsidR="00D03535" w:rsidRDefault="00D03535" w:rsidP="00D03535">
      <w:pPr>
        <w:rPr>
          <w:rFonts w:ascii="Arial" w:hAnsi="Arial" w:cs="Verdana"/>
          <w:sz w:val="22"/>
          <w:szCs w:val="22"/>
        </w:rPr>
      </w:pPr>
    </w:p>
    <w:p w14:paraId="6F25CB23" w14:textId="77777777" w:rsidR="00D03535" w:rsidRDefault="00D03535" w:rsidP="00D03535">
      <w:pPr>
        <w:ind w:left="760"/>
        <w:jc w:val="both"/>
        <w:rPr>
          <w:rFonts w:ascii="Arial" w:hAnsi="Arial" w:cs="Verdana"/>
          <w:sz w:val="22"/>
          <w:szCs w:val="22"/>
        </w:rPr>
      </w:pPr>
      <w:r>
        <w:rPr>
          <w:rFonts w:ascii="Arial" w:hAnsi="Arial" w:cs="Verdana"/>
          <w:b/>
          <w:i/>
          <w:sz w:val="22"/>
          <w:szCs w:val="22"/>
        </w:rPr>
        <w:t>Opieka nad osobami w stanie nietrzeźwości</w:t>
      </w:r>
      <w:r>
        <w:rPr>
          <w:rFonts w:ascii="Arial" w:hAnsi="Arial" w:cs="Verdana"/>
          <w:i/>
          <w:sz w:val="22"/>
          <w:szCs w:val="22"/>
        </w:rPr>
        <w:t xml:space="preserve"> – bezpieczeństwo państwa, porządek i bezpieczeństwo publiczne, realizacja zadań wynikających z ustawy o wychowaniu w trzeźwości i przeciwdziałaniu alkoholizmowi.</w:t>
      </w:r>
    </w:p>
    <w:p w14:paraId="17EEFB39" w14:textId="77777777" w:rsidR="00D03535" w:rsidRDefault="00D03535" w:rsidP="00D03535">
      <w:pPr>
        <w:rPr>
          <w:rFonts w:ascii="Arial" w:hAnsi="Arial" w:cs="Verdana"/>
          <w:sz w:val="22"/>
          <w:szCs w:val="22"/>
        </w:rPr>
      </w:pPr>
    </w:p>
    <w:p w14:paraId="462876C6" w14:textId="77777777" w:rsidR="00D03535" w:rsidRDefault="00D03535" w:rsidP="00D03535">
      <w:pPr>
        <w:numPr>
          <w:ilvl w:val="0"/>
          <w:numId w:val="1"/>
        </w:numPr>
        <w:rPr>
          <w:rFonts w:ascii="Arial" w:hAnsi="Arial" w:cs="Verdana"/>
          <w:sz w:val="22"/>
          <w:szCs w:val="22"/>
        </w:rPr>
      </w:pPr>
      <w:r>
        <w:rPr>
          <w:rFonts w:ascii="Arial" w:hAnsi="Arial"/>
          <w:sz w:val="22"/>
          <w:szCs w:val="22"/>
        </w:rPr>
        <w:t xml:space="preserve">Wskazanie okresu objętego sprawozdaniem </w:t>
      </w:r>
    </w:p>
    <w:p w14:paraId="19616532" w14:textId="77777777" w:rsidR="00D03535" w:rsidRDefault="00D03535" w:rsidP="00D03535">
      <w:pPr>
        <w:rPr>
          <w:rFonts w:ascii="Arial" w:hAnsi="Arial" w:cs="Verdana"/>
          <w:sz w:val="22"/>
          <w:szCs w:val="22"/>
        </w:rPr>
      </w:pPr>
    </w:p>
    <w:p w14:paraId="4873EBC8" w14:textId="30EE703E" w:rsidR="00D03535" w:rsidRDefault="00D03535" w:rsidP="00D03535">
      <w:pPr>
        <w:rPr>
          <w:rFonts w:ascii="Arial" w:hAnsi="Arial" w:cs="Verdana"/>
          <w:sz w:val="22"/>
          <w:szCs w:val="22"/>
        </w:rPr>
      </w:pPr>
      <w:r>
        <w:rPr>
          <w:rFonts w:ascii="Arial" w:hAnsi="Arial" w:cs="Verdana"/>
          <w:b/>
          <w:bCs/>
          <w:i/>
          <w:iCs/>
          <w:sz w:val="22"/>
          <w:szCs w:val="22"/>
        </w:rPr>
        <w:tab/>
        <w:t>Sprawozdanie sporządzono za okres od 01.01.2021 r. do 31.12.2021 r.</w:t>
      </w:r>
    </w:p>
    <w:p w14:paraId="22292F79" w14:textId="77777777" w:rsidR="00D03535" w:rsidRDefault="00D03535" w:rsidP="00D03535">
      <w:pPr>
        <w:rPr>
          <w:rFonts w:ascii="Arial" w:hAnsi="Arial" w:cs="Verdana"/>
          <w:sz w:val="22"/>
          <w:szCs w:val="22"/>
        </w:rPr>
      </w:pPr>
    </w:p>
    <w:p w14:paraId="210F0A4D" w14:textId="77777777" w:rsidR="00D03535" w:rsidRDefault="00D03535" w:rsidP="00D03535">
      <w:pPr>
        <w:numPr>
          <w:ilvl w:val="0"/>
          <w:numId w:val="1"/>
        </w:numPr>
        <w:rPr>
          <w:rFonts w:ascii="Arial" w:hAnsi="Arial" w:cs="Verdana"/>
          <w:sz w:val="22"/>
          <w:szCs w:val="22"/>
        </w:rPr>
      </w:pPr>
      <w:r>
        <w:rPr>
          <w:rFonts w:ascii="Arial" w:hAnsi="Arial"/>
          <w:sz w:val="22"/>
          <w:szCs w:val="22"/>
        </w:rPr>
        <w:t xml:space="preserve">Wskazanie, że sprawozdanie finansowe zawiera dane łączne </w:t>
      </w:r>
    </w:p>
    <w:p w14:paraId="590B018A" w14:textId="77777777" w:rsidR="00D03535" w:rsidRDefault="00D03535" w:rsidP="00D03535">
      <w:pPr>
        <w:rPr>
          <w:rFonts w:ascii="Arial" w:hAnsi="Arial" w:cs="Verdana"/>
          <w:sz w:val="22"/>
          <w:szCs w:val="22"/>
        </w:rPr>
      </w:pPr>
    </w:p>
    <w:p w14:paraId="1646F59C" w14:textId="77777777" w:rsidR="00D03535" w:rsidRDefault="00D03535" w:rsidP="00D03535">
      <w:pPr>
        <w:ind w:left="720"/>
        <w:rPr>
          <w:rFonts w:ascii="Arial" w:hAnsi="Arial" w:cs="Verdana"/>
          <w:sz w:val="22"/>
          <w:szCs w:val="22"/>
        </w:rPr>
      </w:pPr>
      <w:r>
        <w:rPr>
          <w:rFonts w:ascii="Arial" w:hAnsi="Arial" w:cs="Verdana"/>
          <w:b/>
          <w:i/>
          <w:sz w:val="22"/>
          <w:szCs w:val="22"/>
        </w:rPr>
        <w:t>Sprawozdanie finansowe nie obejmuje danych łącznych, stanowi sprawozdanie jednostkowe.</w:t>
      </w:r>
      <w:r>
        <w:rPr>
          <w:rFonts w:ascii="Arial" w:hAnsi="Arial" w:cs="Verdana"/>
          <w:sz w:val="22"/>
          <w:szCs w:val="22"/>
        </w:rPr>
        <w:tab/>
      </w:r>
    </w:p>
    <w:p w14:paraId="3B49196B" w14:textId="77777777" w:rsidR="00D03535" w:rsidRDefault="00D03535" w:rsidP="00D03535">
      <w:pPr>
        <w:rPr>
          <w:rFonts w:ascii="Arial" w:hAnsi="Arial" w:cs="Verdana"/>
          <w:sz w:val="22"/>
          <w:szCs w:val="22"/>
        </w:rPr>
      </w:pPr>
    </w:p>
    <w:p w14:paraId="7E60FD1A" w14:textId="3FB721B5" w:rsidR="00D03535" w:rsidRDefault="00D03535" w:rsidP="00D03535">
      <w:pPr>
        <w:numPr>
          <w:ilvl w:val="0"/>
          <w:numId w:val="1"/>
        </w:numPr>
        <w:jc w:val="both"/>
        <w:rPr>
          <w:rFonts w:ascii="Arial" w:hAnsi="Arial"/>
          <w:sz w:val="22"/>
          <w:szCs w:val="22"/>
        </w:rPr>
      </w:pPr>
      <w:r>
        <w:rPr>
          <w:rFonts w:ascii="Arial" w:hAnsi="Arial" w:cs="Times New Roman"/>
          <w:sz w:val="22"/>
          <w:szCs w:val="22"/>
        </w:rPr>
        <w:t>Omówienie przyjętych zasad (polityki) rachunkowości, w tym metod wyceny aktywów i pasywów (także amortyzacji):</w:t>
      </w:r>
    </w:p>
    <w:p w14:paraId="69DAC97A" w14:textId="77777777" w:rsidR="00D03535" w:rsidRDefault="00D03535" w:rsidP="00D03535">
      <w:pPr>
        <w:jc w:val="both"/>
        <w:rPr>
          <w:rFonts w:ascii="Arial" w:hAnsi="Arial"/>
          <w:sz w:val="22"/>
          <w:szCs w:val="22"/>
        </w:rPr>
      </w:pPr>
    </w:p>
    <w:p w14:paraId="0970310E" w14:textId="77777777" w:rsidR="00D03535" w:rsidRDefault="00D03535" w:rsidP="00D03535">
      <w:pPr>
        <w:jc w:val="both"/>
        <w:rPr>
          <w:rFonts w:ascii="Arial" w:hAnsi="Arial"/>
          <w:sz w:val="22"/>
          <w:szCs w:val="22"/>
        </w:rPr>
      </w:pPr>
      <w:r>
        <w:rPr>
          <w:rFonts w:ascii="Arial" w:eastAsia="Calibri" w:hAnsi="Arial" w:cs="Times New Roman"/>
          <w:b/>
          <w:sz w:val="22"/>
          <w:szCs w:val="22"/>
          <w:u w:val="single"/>
          <w:lang w:eastAsia="ar-SA" w:bidi="ar-SA"/>
        </w:rPr>
        <w:t>Środki trwałe oraz wartości niematerialne i prawne</w:t>
      </w:r>
    </w:p>
    <w:p w14:paraId="3016907F" w14:textId="77777777" w:rsidR="00D03535" w:rsidRDefault="00D03535" w:rsidP="00D03535">
      <w:pPr>
        <w:jc w:val="both"/>
        <w:rPr>
          <w:rFonts w:ascii="Arial" w:hAnsi="Arial"/>
          <w:sz w:val="22"/>
          <w:szCs w:val="22"/>
        </w:rPr>
      </w:pPr>
    </w:p>
    <w:p w14:paraId="6CB22AA1" w14:textId="77777777" w:rsidR="00D03535" w:rsidRDefault="00D03535" w:rsidP="00D03535">
      <w:pPr>
        <w:widowControl/>
        <w:suppressAutoHyphens w:val="0"/>
        <w:spacing w:before="26"/>
        <w:jc w:val="both"/>
        <w:rPr>
          <w:rFonts w:ascii="Arial" w:eastAsia="Calibri" w:hAnsi="Arial" w:cs="Times New Roman"/>
          <w:i/>
          <w:sz w:val="22"/>
          <w:szCs w:val="22"/>
          <w:lang w:eastAsia="ar-SA" w:bidi="ar-SA"/>
        </w:rPr>
      </w:pPr>
      <w:r>
        <w:rPr>
          <w:rFonts w:ascii="Arial" w:eastAsia="Calibri" w:hAnsi="Arial" w:cs="Times New Roman"/>
          <w:i/>
          <w:sz w:val="22"/>
          <w:szCs w:val="22"/>
          <w:lang w:eastAsia="ar-SA" w:bidi="ar-SA"/>
        </w:rPr>
        <w:t>4.1 Środki trwałe w dniu przyjęcia do użytkowania wycenia się:</w:t>
      </w:r>
    </w:p>
    <w:p w14:paraId="0A1A622B" w14:textId="77777777" w:rsidR="00D03535" w:rsidRDefault="00D03535" w:rsidP="00D03535">
      <w:pPr>
        <w:widowControl/>
        <w:numPr>
          <w:ilvl w:val="1"/>
          <w:numId w:val="3"/>
        </w:numPr>
        <w:suppressAutoHyphens w:val="0"/>
        <w:jc w:val="both"/>
        <w:rPr>
          <w:rFonts w:ascii="Arial" w:eastAsia="Calibri" w:hAnsi="Arial" w:cs="Times New Roman"/>
          <w:i/>
          <w:sz w:val="22"/>
          <w:szCs w:val="22"/>
          <w:lang w:eastAsia="ar-SA" w:bidi="ar-SA"/>
        </w:rPr>
      </w:pPr>
      <w:r>
        <w:rPr>
          <w:rFonts w:ascii="Arial" w:eastAsia="Calibri" w:hAnsi="Arial" w:cs="Times New Roman"/>
          <w:i/>
          <w:sz w:val="22"/>
          <w:szCs w:val="22"/>
          <w:lang w:eastAsia="ar-SA" w:bidi="ar-SA"/>
        </w:rPr>
        <w:t xml:space="preserve">w przypadku zakupu - według ceny nabycia, </w:t>
      </w:r>
    </w:p>
    <w:p w14:paraId="3134D2E1" w14:textId="77777777" w:rsidR="00D03535" w:rsidRDefault="00D03535" w:rsidP="00D03535">
      <w:pPr>
        <w:widowControl/>
        <w:numPr>
          <w:ilvl w:val="1"/>
          <w:numId w:val="3"/>
        </w:numPr>
        <w:suppressAutoHyphens w:val="0"/>
        <w:jc w:val="both"/>
        <w:rPr>
          <w:rFonts w:ascii="Arial" w:hAnsi="Arial"/>
          <w:i/>
          <w:iCs/>
          <w:sz w:val="22"/>
          <w:szCs w:val="22"/>
          <w:lang w:eastAsia="ar-SA" w:bidi="ar-SA"/>
        </w:rPr>
      </w:pPr>
      <w:r>
        <w:rPr>
          <w:rFonts w:ascii="Arial" w:eastAsia="Calibri" w:hAnsi="Arial" w:cs="Times New Roman"/>
          <w:i/>
          <w:sz w:val="22"/>
          <w:szCs w:val="22"/>
          <w:lang w:eastAsia="ar-SA" w:bidi="ar-SA"/>
        </w:rPr>
        <w:t xml:space="preserve">w przypadku wytworzenia we własnym zakresie–według kosztu wytworzenia, który obejmuje ogół kosztów poniesionych przez jednostkę od rozpoczęcia budowy, montażu, przystosowania, ulepszenia do dnia bilansowego lub przyjęcia do użytkowania, </w:t>
      </w:r>
    </w:p>
    <w:p w14:paraId="528AD19C" w14:textId="77777777" w:rsidR="00D03535" w:rsidRDefault="00D03535" w:rsidP="00D03535">
      <w:pPr>
        <w:numPr>
          <w:ilvl w:val="1"/>
          <w:numId w:val="3"/>
        </w:numPr>
        <w:jc w:val="both"/>
        <w:rPr>
          <w:rFonts w:ascii="Arial" w:hAnsi="Arial"/>
          <w:i/>
          <w:iCs/>
          <w:sz w:val="22"/>
          <w:szCs w:val="22"/>
          <w:lang w:eastAsia="ar-SA" w:bidi="ar-SA"/>
        </w:rPr>
      </w:pPr>
      <w:r>
        <w:rPr>
          <w:rFonts w:ascii="Arial" w:hAnsi="Arial"/>
          <w:i/>
          <w:iCs/>
          <w:sz w:val="22"/>
          <w:szCs w:val="22"/>
          <w:lang w:eastAsia="ar-SA" w:bidi="ar-SA"/>
        </w:rPr>
        <w:t xml:space="preserve">w przypadku ujawnienia w trakcie inwentaryzacji - według posiadanych dokumentów z uwzględnieniem zużycia, a przy ich braku według wartości rynkowej, ujawnione nadwyżki środków trwałych wprowadza się do ksiąg pod datą ich zinwentaryzowania, </w:t>
      </w:r>
    </w:p>
    <w:p w14:paraId="32983FA4" w14:textId="77777777" w:rsidR="00D03535" w:rsidRDefault="00D03535" w:rsidP="00D03535">
      <w:pPr>
        <w:numPr>
          <w:ilvl w:val="1"/>
          <w:numId w:val="3"/>
        </w:numPr>
        <w:jc w:val="both"/>
        <w:rPr>
          <w:rFonts w:ascii="Arial" w:hAnsi="Arial"/>
          <w:i/>
          <w:iCs/>
          <w:sz w:val="22"/>
          <w:szCs w:val="22"/>
          <w:lang w:eastAsia="ar-SA" w:bidi="ar-SA"/>
        </w:rPr>
      </w:pPr>
      <w:r>
        <w:rPr>
          <w:rFonts w:ascii="Arial" w:hAnsi="Arial"/>
          <w:i/>
          <w:iCs/>
          <w:sz w:val="22"/>
          <w:szCs w:val="22"/>
          <w:lang w:eastAsia="ar-SA" w:bidi="ar-SA"/>
        </w:rPr>
        <w:t xml:space="preserve">w przypadku nieodpłatnego otrzymania, spadku lub darowizny-według wartości rynkowej z dnia otrzymania lub w niższej wartości określonej w umowie o przekazaniu, </w:t>
      </w:r>
    </w:p>
    <w:p w14:paraId="15CE349F" w14:textId="77777777" w:rsidR="00D03535" w:rsidRDefault="00D03535" w:rsidP="00D03535">
      <w:pPr>
        <w:numPr>
          <w:ilvl w:val="1"/>
          <w:numId w:val="3"/>
        </w:numPr>
        <w:jc w:val="both"/>
        <w:rPr>
          <w:rFonts w:ascii="Arial" w:hAnsi="Arial"/>
          <w:i/>
          <w:iCs/>
          <w:sz w:val="22"/>
          <w:szCs w:val="22"/>
          <w:lang w:eastAsia="ar-SA" w:bidi="ar-SA"/>
        </w:rPr>
      </w:pPr>
      <w:r>
        <w:rPr>
          <w:rFonts w:ascii="Arial" w:hAnsi="Arial"/>
          <w:i/>
          <w:iCs/>
          <w:sz w:val="22"/>
          <w:szCs w:val="22"/>
          <w:lang w:eastAsia="ar-SA" w:bidi="ar-SA"/>
        </w:rPr>
        <w:t xml:space="preserve">w przypadku otrzymania w sposób nieodpłatny od Skarbu Państwa lub jednostki samorządu terytorialnego – w wysokości określonej w decyzji o ich przekazaniu, </w:t>
      </w:r>
    </w:p>
    <w:p w14:paraId="22C57A86" w14:textId="400A1F4C" w:rsidR="00D03535" w:rsidRDefault="00D03535" w:rsidP="00D03535">
      <w:pPr>
        <w:numPr>
          <w:ilvl w:val="1"/>
          <w:numId w:val="3"/>
        </w:numPr>
        <w:jc w:val="both"/>
        <w:rPr>
          <w:rFonts w:ascii="Arial" w:hAnsi="Arial"/>
          <w:i/>
          <w:iCs/>
          <w:sz w:val="22"/>
          <w:szCs w:val="22"/>
        </w:rPr>
      </w:pPr>
      <w:r>
        <w:rPr>
          <w:rFonts w:ascii="Arial" w:hAnsi="Arial"/>
          <w:i/>
          <w:iCs/>
          <w:sz w:val="22"/>
          <w:szCs w:val="22"/>
          <w:lang w:eastAsia="ar-SA" w:bidi="ar-SA"/>
        </w:rPr>
        <w:t>wartość mienia przejętego po zlikwidowanym przedsiębiorstwie lub innej jednostce organizacyjnej według wartości netto wynikającej z bilansu zlikwidowanego przedsiębiorstwa lub jednostki organizacyjnej.</w:t>
      </w:r>
    </w:p>
    <w:p w14:paraId="0CFA3A74" w14:textId="77777777" w:rsidR="00D03535" w:rsidRDefault="00D03535" w:rsidP="00D03535">
      <w:pPr>
        <w:jc w:val="both"/>
        <w:rPr>
          <w:rFonts w:ascii="Arial" w:hAnsi="Arial"/>
          <w:i/>
          <w:iCs/>
          <w:sz w:val="22"/>
          <w:szCs w:val="22"/>
        </w:rPr>
      </w:pPr>
    </w:p>
    <w:p w14:paraId="76A12A76" w14:textId="77777777" w:rsidR="00D03535" w:rsidRDefault="00D03535" w:rsidP="00D03535">
      <w:pPr>
        <w:ind w:left="720"/>
        <w:jc w:val="both"/>
        <w:rPr>
          <w:rFonts w:ascii="Arial" w:hAnsi="Arial"/>
          <w:i/>
          <w:iCs/>
          <w:sz w:val="22"/>
          <w:szCs w:val="22"/>
        </w:rPr>
      </w:pPr>
      <w:r>
        <w:rPr>
          <w:rFonts w:ascii="Arial" w:hAnsi="Arial"/>
          <w:i/>
          <w:iCs/>
          <w:sz w:val="22"/>
          <w:szCs w:val="22"/>
          <w:lang w:eastAsia="ar-SA" w:bidi="ar-SA"/>
        </w:rPr>
        <w:t xml:space="preserve">4.2. Wartości niematerialne i prawne wprowadza się do ewidencji w cenie nabycia, otrzymane nieodpłatnie na podstawie dokumentu przekazania - według wartości określonej w tym dokumencie, a otrzymane na podstawie darowizny - według wartości rynkowej z dnia </w:t>
      </w:r>
      <w:r>
        <w:rPr>
          <w:rFonts w:ascii="Arial" w:hAnsi="Arial"/>
          <w:i/>
          <w:iCs/>
          <w:sz w:val="22"/>
          <w:szCs w:val="22"/>
          <w:lang w:eastAsia="ar-SA" w:bidi="ar-SA"/>
        </w:rPr>
        <w:lastRenderedPageBreak/>
        <w:t>otrzymania lub wartości określonej w umowie o przekazaniu. Wartość rynkowa określana jest na podstawie przeciętnych cen stosowanych w obrocie rzeczami tego samego rodzaju i gatunku, z uwzględnieniem ich stanu i stopnia zużycia.</w:t>
      </w:r>
    </w:p>
    <w:p w14:paraId="1FE6E528" w14:textId="77777777" w:rsidR="00D03535" w:rsidRDefault="00D03535" w:rsidP="00D03535">
      <w:pPr>
        <w:rPr>
          <w:rFonts w:ascii="Arial" w:hAnsi="Arial"/>
          <w:i/>
          <w:iCs/>
          <w:sz w:val="22"/>
          <w:szCs w:val="22"/>
        </w:rPr>
      </w:pPr>
    </w:p>
    <w:p w14:paraId="77F205C5" w14:textId="77777777" w:rsidR="00D03535" w:rsidRDefault="00D03535" w:rsidP="00D03535">
      <w:pPr>
        <w:rPr>
          <w:rFonts w:ascii="Arial" w:hAnsi="Arial"/>
          <w:i/>
          <w:iCs/>
          <w:sz w:val="22"/>
          <w:szCs w:val="22"/>
        </w:rPr>
      </w:pPr>
      <w:r>
        <w:rPr>
          <w:rFonts w:ascii="Arial" w:hAnsi="Arial"/>
          <w:i/>
          <w:iCs/>
          <w:sz w:val="22"/>
          <w:szCs w:val="22"/>
          <w:lang w:eastAsia="ar-SA" w:bidi="ar-SA"/>
        </w:rPr>
        <w:t xml:space="preserve">4.3. Jednorazowo, przez spisanie w koszty w miesiącu przyjęcia do używania, umarza się: </w:t>
      </w:r>
    </w:p>
    <w:p w14:paraId="1AD45965" w14:textId="77777777" w:rsidR="00D03535" w:rsidRDefault="00D03535" w:rsidP="00D03535">
      <w:pPr>
        <w:numPr>
          <w:ilvl w:val="0"/>
          <w:numId w:val="2"/>
        </w:numPr>
        <w:ind w:left="789" w:firstLine="0"/>
        <w:rPr>
          <w:rFonts w:ascii="Arial" w:hAnsi="Arial"/>
          <w:i/>
          <w:iCs/>
          <w:sz w:val="22"/>
          <w:szCs w:val="22"/>
        </w:rPr>
      </w:pPr>
      <w:r>
        <w:rPr>
          <w:rFonts w:ascii="Arial" w:hAnsi="Arial"/>
          <w:i/>
          <w:iCs/>
          <w:sz w:val="22"/>
          <w:szCs w:val="22"/>
        </w:rPr>
        <w:t xml:space="preserve">książki i inne zbiory biblioteczne, </w:t>
      </w:r>
    </w:p>
    <w:p w14:paraId="5F7630DC" w14:textId="77777777" w:rsidR="00D03535" w:rsidRDefault="00D03535" w:rsidP="00D03535">
      <w:pPr>
        <w:numPr>
          <w:ilvl w:val="0"/>
          <w:numId w:val="2"/>
        </w:numPr>
        <w:ind w:left="789" w:firstLine="0"/>
        <w:rPr>
          <w:rFonts w:ascii="Arial" w:hAnsi="Arial"/>
          <w:i/>
          <w:iCs/>
          <w:sz w:val="22"/>
          <w:szCs w:val="22"/>
        </w:rPr>
      </w:pPr>
      <w:r>
        <w:rPr>
          <w:rFonts w:ascii="Arial" w:hAnsi="Arial"/>
          <w:i/>
          <w:iCs/>
          <w:sz w:val="22"/>
          <w:szCs w:val="22"/>
        </w:rPr>
        <w:t xml:space="preserve">odzież i umundurowanie, </w:t>
      </w:r>
    </w:p>
    <w:p w14:paraId="543D5877" w14:textId="77777777" w:rsidR="00D03535" w:rsidRDefault="00D03535" w:rsidP="00D03535">
      <w:pPr>
        <w:numPr>
          <w:ilvl w:val="0"/>
          <w:numId w:val="2"/>
        </w:numPr>
        <w:ind w:left="789" w:firstLine="0"/>
        <w:rPr>
          <w:rFonts w:ascii="Arial" w:hAnsi="Arial"/>
          <w:i/>
          <w:iCs/>
          <w:sz w:val="22"/>
          <w:szCs w:val="22"/>
          <w:lang w:eastAsia="ar-SA" w:bidi="ar-SA"/>
        </w:rPr>
      </w:pPr>
      <w:r>
        <w:rPr>
          <w:rFonts w:ascii="Arial" w:hAnsi="Arial"/>
          <w:i/>
          <w:iCs/>
          <w:sz w:val="22"/>
          <w:szCs w:val="22"/>
        </w:rPr>
        <w:t xml:space="preserve">meble i dywany, </w:t>
      </w:r>
    </w:p>
    <w:p w14:paraId="5077A053" w14:textId="77777777" w:rsidR="00D03535" w:rsidRDefault="00D03535" w:rsidP="00D03535">
      <w:pPr>
        <w:numPr>
          <w:ilvl w:val="0"/>
          <w:numId w:val="2"/>
        </w:numPr>
        <w:ind w:left="789" w:firstLine="0"/>
        <w:jc w:val="both"/>
        <w:rPr>
          <w:rFonts w:ascii="Arial" w:hAnsi="Arial"/>
          <w:i/>
          <w:iCs/>
          <w:sz w:val="22"/>
          <w:szCs w:val="22"/>
        </w:rPr>
      </w:pPr>
      <w:r>
        <w:rPr>
          <w:rFonts w:ascii="Arial" w:hAnsi="Arial"/>
          <w:i/>
          <w:iCs/>
          <w:sz w:val="22"/>
          <w:szCs w:val="22"/>
          <w:lang w:eastAsia="ar-SA" w:bidi="ar-SA"/>
        </w:rPr>
        <w:t xml:space="preserve">pozostałe środki trwałe (wyposażenie) oraz wartości niematerialne i prawne, o wartości nieprzekraczającej wielkości ustalonej w przepisach o podatku dochodowym od osób prawnych, (tj. dla których wartość początkowa w dniu przyjęcia do używania jest mniejsza lub równa kwocie 10.000 zł) dla których odpisy amortyzacyjne są uznawane za koszt uzyskania przychodu w 100% ich wartości w momencie oddania do używania. </w:t>
      </w:r>
    </w:p>
    <w:p w14:paraId="184E7ADA" w14:textId="77777777" w:rsidR="00D03535" w:rsidRDefault="00D03535" w:rsidP="00D03535">
      <w:pPr>
        <w:jc w:val="both"/>
        <w:rPr>
          <w:rFonts w:ascii="Arial" w:hAnsi="Arial"/>
          <w:i/>
          <w:iCs/>
          <w:sz w:val="22"/>
          <w:szCs w:val="22"/>
        </w:rPr>
      </w:pPr>
    </w:p>
    <w:p w14:paraId="15CBC9DA" w14:textId="77777777" w:rsidR="00D03535" w:rsidRDefault="00D03535" w:rsidP="00D03535">
      <w:pPr>
        <w:jc w:val="both"/>
        <w:rPr>
          <w:rFonts w:ascii="Arial" w:hAnsi="Arial"/>
          <w:i/>
          <w:iCs/>
          <w:sz w:val="22"/>
          <w:szCs w:val="22"/>
        </w:rPr>
      </w:pPr>
      <w:r>
        <w:rPr>
          <w:rFonts w:ascii="Arial" w:hAnsi="Arial"/>
          <w:i/>
          <w:iCs/>
          <w:sz w:val="22"/>
          <w:szCs w:val="22"/>
        </w:rPr>
        <w:t>4.4.Środki trwałe oraz wartości niematerialne i prawne, dla których wartość początkowa w dniu przyjęcia do używania jest wyższa niż 10.000 zł umarza się oraz amortyzuje przy zastosowaniu stawek określonych w przepisach o podatku dochodowym od osób prawnych</w:t>
      </w:r>
      <w:r>
        <w:t>.</w:t>
      </w:r>
    </w:p>
    <w:p w14:paraId="460B5CB4" w14:textId="77777777" w:rsidR="00D03535" w:rsidRDefault="00D03535" w:rsidP="00D03535">
      <w:pPr>
        <w:rPr>
          <w:rFonts w:ascii="Arial" w:hAnsi="Arial"/>
          <w:i/>
          <w:iCs/>
          <w:sz w:val="22"/>
          <w:szCs w:val="22"/>
        </w:rPr>
      </w:pPr>
    </w:p>
    <w:p w14:paraId="3CF03B2F" w14:textId="77777777" w:rsidR="00D03535" w:rsidRDefault="00D03535" w:rsidP="00D03535">
      <w:pPr>
        <w:jc w:val="both"/>
        <w:rPr>
          <w:rFonts w:ascii="Arial" w:hAnsi="Arial"/>
          <w:i/>
          <w:iCs/>
          <w:sz w:val="22"/>
          <w:szCs w:val="22"/>
        </w:rPr>
      </w:pPr>
      <w:r>
        <w:rPr>
          <w:rFonts w:ascii="Arial" w:hAnsi="Arial"/>
          <w:i/>
          <w:iCs/>
          <w:sz w:val="22"/>
          <w:szCs w:val="22"/>
        </w:rPr>
        <w:t>4.5.Ośrodek Pomocy Osobom z Problemami Alkoholowymi w Częstochowie stosuje zasady wyceny aktywów i pasywów nie rzadziej niż na dzień bilansowy.</w:t>
      </w:r>
    </w:p>
    <w:p w14:paraId="671B5316" w14:textId="77777777" w:rsidR="00D03535" w:rsidRDefault="00D03535" w:rsidP="00D03535">
      <w:pPr>
        <w:rPr>
          <w:rFonts w:ascii="Arial" w:hAnsi="Arial"/>
          <w:i/>
          <w:iCs/>
          <w:sz w:val="22"/>
          <w:szCs w:val="22"/>
        </w:rPr>
      </w:pPr>
    </w:p>
    <w:p w14:paraId="1E4F6B1B" w14:textId="77777777" w:rsidR="00D03535" w:rsidRDefault="00D03535" w:rsidP="00D03535">
      <w:pPr>
        <w:jc w:val="both"/>
        <w:rPr>
          <w:rFonts w:ascii="Arial" w:hAnsi="Arial"/>
          <w:i/>
          <w:iCs/>
          <w:sz w:val="22"/>
          <w:szCs w:val="22"/>
          <w:lang w:eastAsia="ar-SA" w:bidi="ar-SA"/>
        </w:rPr>
      </w:pPr>
      <w:r>
        <w:rPr>
          <w:rFonts w:ascii="Arial" w:hAnsi="Arial"/>
          <w:i/>
          <w:iCs/>
          <w:sz w:val="22"/>
          <w:szCs w:val="22"/>
          <w:lang w:eastAsia="ar-SA" w:bidi="ar-SA"/>
        </w:rPr>
        <w:t xml:space="preserve">4.6. Środki trwałe podlegają ewidencji ilościowo-wartościowej w podziale na: podstawowe środki trwałe (środki trwałe o wartości początkowej przekraczającej kwotę ustaloną w przepisach o podatku dochodowym od osób prawnych), pozostałe środki trwałe (wyposażenie) o wartości początkowej przewyższającej kwotę 500 zł a nie przekraczającą 10.000 zł. </w:t>
      </w:r>
    </w:p>
    <w:p w14:paraId="67CCA4CD" w14:textId="77777777" w:rsidR="00D03535" w:rsidRDefault="00D03535" w:rsidP="00D03535">
      <w:pPr>
        <w:jc w:val="both"/>
        <w:rPr>
          <w:rFonts w:ascii="Arial" w:hAnsi="Arial"/>
          <w:i/>
          <w:iCs/>
          <w:sz w:val="22"/>
          <w:szCs w:val="22"/>
        </w:rPr>
      </w:pPr>
      <w:r>
        <w:rPr>
          <w:rFonts w:ascii="Arial" w:hAnsi="Arial"/>
          <w:i/>
          <w:iCs/>
          <w:sz w:val="22"/>
          <w:szCs w:val="22"/>
          <w:lang w:eastAsia="ar-SA" w:bidi="ar-SA"/>
        </w:rPr>
        <w:t>Wartości niematerialne i prawne podlegają ewidencji ilościowo-wartościowej w podziale na: podstawowe wartości niematerialne i prawne (o wartości początkowej przekraczającej kwotę ustaloną w przepisach o podatku dochodowym od osób prawnych) pozostałe wartości niematerialne i prawne o wartości początkowej przewyższającej kwotę 3 500 zł a nie przekraczającą 10.000 zł.</w:t>
      </w:r>
    </w:p>
    <w:p w14:paraId="30DB3CF1" w14:textId="77777777" w:rsidR="00D03535" w:rsidRDefault="00D03535" w:rsidP="00D03535">
      <w:pPr>
        <w:rPr>
          <w:rFonts w:ascii="Arial" w:hAnsi="Arial"/>
          <w:i/>
          <w:iCs/>
          <w:sz w:val="22"/>
          <w:szCs w:val="22"/>
        </w:rPr>
      </w:pPr>
    </w:p>
    <w:p w14:paraId="65BDB5AD" w14:textId="6DA74F42" w:rsidR="00D03535" w:rsidRDefault="00D03535" w:rsidP="00D03535">
      <w:pPr>
        <w:jc w:val="both"/>
        <w:rPr>
          <w:rFonts w:ascii="Arial" w:hAnsi="Arial"/>
          <w:i/>
          <w:iCs/>
          <w:sz w:val="22"/>
          <w:szCs w:val="22"/>
        </w:rPr>
      </w:pPr>
      <w:r>
        <w:rPr>
          <w:rFonts w:ascii="Arial" w:hAnsi="Arial"/>
          <w:i/>
          <w:iCs/>
          <w:sz w:val="22"/>
          <w:szCs w:val="22"/>
        </w:rPr>
        <w:t>4.7.W przypadku nieistotnej wartości początkowej (o wartości początkowej nieprzekraczającej kwoty 500 zł) składnika majątku spełniającego warunki uznania za środek trwały nie zostaje ujęty w środkach trwałych, a jego wartość początkowa zostaje jednorazowo odpisana w ciężar kosztów materiałów pod datą oddania do użytkowania, jednocześnie jednak przedmiot objęty zostaje ilościową ewidencją pozabilansową lub bezpośrednio w ciężar kosztów materiałów pod datą oddania do użytkowania.</w:t>
      </w:r>
    </w:p>
    <w:p w14:paraId="39EF9CAB" w14:textId="77777777" w:rsidR="00D03535" w:rsidRDefault="00D03535" w:rsidP="00D03535">
      <w:pPr>
        <w:jc w:val="both"/>
        <w:rPr>
          <w:rFonts w:ascii="Arial" w:hAnsi="Arial"/>
          <w:i/>
          <w:iCs/>
          <w:sz w:val="22"/>
          <w:szCs w:val="22"/>
        </w:rPr>
      </w:pPr>
      <w:r>
        <w:rPr>
          <w:rFonts w:ascii="Arial" w:hAnsi="Arial"/>
          <w:i/>
          <w:iCs/>
          <w:sz w:val="22"/>
          <w:szCs w:val="22"/>
        </w:rPr>
        <w:t>Dokonując kwalifikacji danego składnika majątkowego o wartości nieprzekraczającej kwoty 500 zł do wprowadzenia do ewidencji pozabilansowej, należy oprócz ceny jednostkowej wziąć pod uwagę trwałość (stopień eksploatacji) i użyteczność (przeznaczenie) zgodnie z zasadą gospodarności i racjonalności.</w:t>
      </w:r>
    </w:p>
    <w:p w14:paraId="385A1866" w14:textId="6D56CE47" w:rsidR="00D03535" w:rsidRDefault="00D03535" w:rsidP="00D03535">
      <w:pPr>
        <w:jc w:val="both"/>
        <w:rPr>
          <w:rFonts w:ascii="Arial" w:hAnsi="Arial"/>
          <w:i/>
          <w:iCs/>
          <w:sz w:val="22"/>
          <w:szCs w:val="22"/>
        </w:rPr>
      </w:pPr>
      <w:r>
        <w:rPr>
          <w:rFonts w:ascii="Arial" w:hAnsi="Arial"/>
          <w:i/>
          <w:iCs/>
          <w:sz w:val="22"/>
          <w:szCs w:val="22"/>
        </w:rPr>
        <w:t>Wartości niematerialne i prawne o wartości nie przekraczającej 3.500zł ujmuje się tylko w ewidencji ilościowej pozabilansowej, spisuje się w koszty pod datą zakupu lub bezpłatnego otrzymania, ale z uwagi na potrzebę objęcia ich kontrolą podlegają jednocześnie ujęciu w ewidencji pozabilansowej.</w:t>
      </w:r>
    </w:p>
    <w:p w14:paraId="7366D772" w14:textId="77777777" w:rsidR="00D03535" w:rsidRDefault="00D03535" w:rsidP="00D03535">
      <w:pPr>
        <w:rPr>
          <w:rFonts w:ascii="Arial" w:hAnsi="Arial"/>
          <w:i/>
          <w:iCs/>
          <w:sz w:val="22"/>
          <w:szCs w:val="22"/>
        </w:rPr>
      </w:pPr>
    </w:p>
    <w:p w14:paraId="4B641AD0" w14:textId="77777777" w:rsidR="00D03535" w:rsidRDefault="00D03535" w:rsidP="00D03535">
      <w:pPr>
        <w:jc w:val="both"/>
        <w:rPr>
          <w:rFonts w:ascii="Arial" w:hAnsi="Arial"/>
          <w:i/>
          <w:iCs/>
          <w:sz w:val="22"/>
          <w:szCs w:val="22"/>
        </w:rPr>
      </w:pPr>
      <w:r>
        <w:rPr>
          <w:rFonts w:ascii="Arial" w:hAnsi="Arial"/>
          <w:i/>
          <w:iCs/>
          <w:sz w:val="22"/>
          <w:szCs w:val="22"/>
          <w:lang w:eastAsia="ar-SA" w:bidi="ar-SA"/>
        </w:rPr>
        <w:t>4.8.Pozostałe środki trwałe i pozostałe wartości niematerialne i prawne finansuje się ze środków na wydatki bieżące (z wyjątkiem pierwszego wyposażenia nowego obiektu). Odpisy amortyzacyjne są uznawane za koszt działalności operacyjnej w całości ich wartości i są umarzane w całości w momencie oddania do używania.</w:t>
      </w:r>
    </w:p>
    <w:p w14:paraId="5A6574B4" w14:textId="77777777" w:rsidR="00D03535" w:rsidRDefault="00D03535" w:rsidP="00D03535">
      <w:pPr>
        <w:jc w:val="both"/>
        <w:rPr>
          <w:rFonts w:ascii="Arial" w:hAnsi="Arial"/>
          <w:i/>
          <w:iCs/>
          <w:sz w:val="22"/>
          <w:szCs w:val="22"/>
        </w:rPr>
      </w:pPr>
    </w:p>
    <w:p w14:paraId="013B00C0" w14:textId="77777777" w:rsidR="00D03535" w:rsidRDefault="00D03535" w:rsidP="00D03535">
      <w:pPr>
        <w:jc w:val="both"/>
        <w:rPr>
          <w:rFonts w:ascii="Arial" w:hAnsi="Arial"/>
          <w:i/>
          <w:iCs/>
          <w:sz w:val="22"/>
          <w:szCs w:val="22"/>
        </w:rPr>
      </w:pPr>
      <w:r>
        <w:rPr>
          <w:rFonts w:ascii="Arial" w:hAnsi="Arial"/>
          <w:i/>
          <w:iCs/>
          <w:sz w:val="22"/>
          <w:szCs w:val="22"/>
        </w:rPr>
        <w:t>4.9. Okres umorzenia wartości niematerialnych i prawnych wynosi 24 miesiące.</w:t>
      </w:r>
    </w:p>
    <w:p w14:paraId="4F9873AE" w14:textId="77777777" w:rsidR="00D03535" w:rsidRDefault="00D03535" w:rsidP="00D03535">
      <w:pPr>
        <w:rPr>
          <w:rFonts w:ascii="Arial" w:hAnsi="Arial"/>
          <w:i/>
          <w:iCs/>
          <w:sz w:val="22"/>
          <w:szCs w:val="22"/>
        </w:rPr>
      </w:pPr>
    </w:p>
    <w:p w14:paraId="269AC151" w14:textId="77777777" w:rsidR="00D03535" w:rsidRDefault="00D03535" w:rsidP="00D03535">
      <w:pPr>
        <w:rPr>
          <w:rFonts w:ascii="Arial" w:hAnsi="Arial"/>
          <w:i/>
          <w:iCs/>
          <w:sz w:val="22"/>
          <w:szCs w:val="22"/>
        </w:rPr>
      </w:pPr>
    </w:p>
    <w:p w14:paraId="19F6FCF8"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sz w:val="22"/>
          <w:szCs w:val="22"/>
          <w:u w:val="single"/>
        </w:rPr>
        <w:t>Wycena należności i zobowiązań:</w:t>
      </w:r>
    </w:p>
    <w:p w14:paraId="335386F1" w14:textId="77777777" w:rsidR="00D03535" w:rsidRDefault="00D03535" w:rsidP="00D03535">
      <w:pPr>
        <w:rPr>
          <w:rFonts w:ascii="Arial" w:hAnsi="Arial"/>
          <w:i/>
          <w:iCs/>
          <w:sz w:val="22"/>
          <w:szCs w:val="22"/>
        </w:rPr>
      </w:pPr>
    </w:p>
    <w:p w14:paraId="266CA504" w14:textId="77777777" w:rsidR="00D03535" w:rsidRDefault="00D03535" w:rsidP="00D03535">
      <w:pPr>
        <w:jc w:val="both"/>
        <w:rPr>
          <w:rFonts w:ascii="Arial" w:hAnsi="Arial"/>
          <w:i/>
          <w:iCs/>
          <w:sz w:val="22"/>
          <w:szCs w:val="22"/>
        </w:rPr>
      </w:pPr>
      <w:r>
        <w:rPr>
          <w:rFonts w:ascii="Arial" w:hAnsi="Arial"/>
          <w:i/>
          <w:iCs/>
          <w:sz w:val="22"/>
          <w:szCs w:val="22"/>
          <w:lang w:eastAsia="ar-SA" w:bidi="ar-SA"/>
        </w:rPr>
        <w:t xml:space="preserve">4.10. Należności i zobowiązania z tytułu dostaw wycenia się w kwocie wymaganej zapłaty, czyli łącznie z odsetkami naliczonymi na koniec każdego kwartału. </w:t>
      </w:r>
    </w:p>
    <w:p w14:paraId="31035FA6" w14:textId="77777777" w:rsidR="00D03535" w:rsidRDefault="00D03535" w:rsidP="00D03535">
      <w:pPr>
        <w:rPr>
          <w:rFonts w:ascii="Arial" w:hAnsi="Arial"/>
          <w:i/>
          <w:iCs/>
          <w:sz w:val="22"/>
          <w:szCs w:val="22"/>
        </w:rPr>
      </w:pPr>
    </w:p>
    <w:p w14:paraId="69792AEF" w14:textId="77777777" w:rsidR="00D03535" w:rsidRDefault="00D03535" w:rsidP="00D03535">
      <w:pPr>
        <w:jc w:val="both"/>
        <w:rPr>
          <w:rFonts w:ascii="Arial" w:hAnsi="Arial"/>
          <w:i/>
          <w:iCs/>
          <w:sz w:val="22"/>
          <w:szCs w:val="22"/>
          <w:lang w:eastAsia="ar-SA" w:bidi="ar-SA"/>
        </w:rPr>
      </w:pPr>
      <w:r>
        <w:rPr>
          <w:rFonts w:ascii="Arial" w:hAnsi="Arial"/>
          <w:i/>
          <w:iCs/>
          <w:sz w:val="22"/>
          <w:szCs w:val="22"/>
          <w:lang w:eastAsia="ar-SA" w:bidi="ar-SA"/>
        </w:rPr>
        <w:lastRenderedPageBreak/>
        <w:t>4.11. Wartość należności aktualizuje się uwzględniając stopień prawdopodobieństwa ich zapłaty. Odpisów aktualizujących należności dokonuje się z uwzględnieniem art. 35b ustawy z dnia 29 września 1994 r. o rachunkowości. Należności wątpliwe to takie, co do których jest prawdopodobne, że nie zostaną zapłacone w terminie i w pełnej wysokości, a przedwczesne byłoby uznanie ich za nieściągalne. Do należności wątpliwych w Ośrodku Pomocy Osobom z Problemami Alkoholowymi w Częstochowie zalicza się:</w:t>
      </w:r>
    </w:p>
    <w:p w14:paraId="6871058A"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podmiotu upadłego bądź postawionego w stan likwidacji do wysokości należności, która nie została ujęta na liście wierzytelności,</w:t>
      </w:r>
    </w:p>
    <w:p w14:paraId="52EE5C7E"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pomiotu, wobec którego oddalono wniosek o ogłoszenie upadłości bądź umorzono postępowanie upadłościowe, gdyż majątek dłużnika nie wystarcza na zaspokojenie kosztów postępowania w pełnej wysokości należności,</w:t>
      </w:r>
    </w:p>
    <w:p w14:paraId="1D5F340E"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gdy w wyniku postępowania egzekucyjnego lub na podstawie innych okoliczności lub dokumentów stwierdzono, że dłużnik nie posiada majątku, z którego można dochodzić wierzytelności – w pełnej wysokości,</w:t>
      </w:r>
    </w:p>
    <w:p w14:paraId="685CAE3D"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gdy dłużnik – osoba prawna został wykreślony z właściwego rejestru osób prawnych – w pełnej wysokości należności,</w:t>
      </w:r>
    </w:p>
    <w:p w14:paraId="469539FE"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dłużnika nieściągniętych w toku zakończonego postępowania upadłościowego – do wysokości należności,</w:t>
      </w:r>
    </w:p>
    <w:p w14:paraId="65DEAB53" w14:textId="64013315"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przeterminowanych lub nieprzeterminowanych o znacznym stopniu prawdopodobieństwa nieściągalności np. w przypadku braku informacji o sytuacji finansowej i majątkowej dłużnika - do wysokości należności,</w:t>
      </w:r>
    </w:p>
    <w:p w14:paraId="2A5F7821" w14:textId="77777777" w:rsidR="00D03535" w:rsidRDefault="00D03535" w:rsidP="00D03535">
      <w:pPr>
        <w:numPr>
          <w:ilvl w:val="1"/>
          <w:numId w:val="4"/>
        </w:numPr>
        <w:jc w:val="both"/>
        <w:rPr>
          <w:rFonts w:ascii="Arial" w:hAnsi="Arial"/>
          <w:i/>
          <w:iCs/>
          <w:sz w:val="22"/>
          <w:szCs w:val="22"/>
          <w:lang w:eastAsia="ar-SA" w:bidi="ar-SA"/>
        </w:rPr>
      </w:pPr>
      <w:r>
        <w:rPr>
          <w:rFonts w:ascii="Arial" w:hAnsi="Arial"/>
          <w:i/>
          <w:iCs/>
          <w:sz w:val="22"/>
          <w:szCs w:val="22"/>
          <w:lang w:eastAsia="ar-SA" w:bidi="ar-SA"/>
        </w:rPr>
        <w:t>należności, gdy dłużnik zmarł - do wysokości należności,</w:t>
      </w:r>
    </w:p>
    <w:p w14:paraId="2B904FD3" w14:textId="77777777" w:rsidR="00D03535" w:rsidRDefault="00D03535" w:rsidP="00D03535">
      <w:pPr>
        <w:numPr>
          <w:ilvl w:val="1"/>
          <w:numId w:val="4"/>
        </w:numPr>
        <w:jc w:val="both"/>
        <w:rPr>
          <w:rFonts w:ascii="Arial" w:hAnsi="Arial"/>
          <w:i/>
          <w:iCs/>
          <w:sz w:val="22"/>
          <w:szCs w:val="22"/>
        </w:rPr>
      </w:pPr>
      <w:r>
        <w:rPr>
          <w:rFonts w:ascii="Arial" w:hAnsi="Arial"/>
          <w:i/>
          <w:iCs/>
          <w:sz w:val="22"/>
          <w:szCs w:val="22"/>
          <w:lang w:eastAsia="ar-SA" w:bidi="ar-SA"/>
        </w:rPr>
        <w:t>należności, gdy nie jest możliwe prowadzenie postępowania egzekucyjnego z uwagi na brak możliwości ustalenia miejsca zamieszkania dłużnika -do wysokości należności.</w:t>
      </w:r>
    </w:p>
    <w:p w14:paraId="5A531037" w14:textId="77777777" w:rsidR="00D03535" w:rsidRDefault="00D03535" w:rsidP="00D03535">
      <w:pPr>
        <w:rPr>
          <w:rFonts w:ascii="Arial" w:hAnsi="Arial"/>
          <w:i/>
          <w:iCs/>
          <w:sz w:val="22"/>
          <w:szCs w:val="22"/>
        </w:rPr>
      </w:pPr>
    </w:p>
    <w:p w14:paraId="3FA20185" w14:textId="77777777" w:rsidR="00D03535" w:rsidRDefault="00D03535" w:rsidP="00D03535">
      <w:pPr>
        <w:jc w:val="both"/>
        <w:rPr>
          <w:rFonts w:ascii="Arial" w:hAnsi="Arial"/>
          <w:i/>
          <w:iCs/>
          <w:sz w:val="22"/>
          <w:szCs w:val="22"/>
        </w:rPr>
      </w:pPr>
      <w:r>
        <w:rPr>
          <w:rFonts w:ascii="Arial" w:hAnsi="Arial"/>
          <w:i/>
          <w:iCs/>
          <w:sz w:val="22"/>
          <w:szCs w:val="22"/>
          <w:lang w:eastAsia="ar-SA" w:bidi="ar-SA"/>
        </w:rPr>
        <w:t>4.12. Wycenę należności w zakresie odpisów aktualizujących przeprowadza się co najmniej raz w roku na dzień bilansowy.</w:t>
      </w:r>
    </w:p>
    <w:p w14:paraId="4521289A" w14:textId="77777777" w:rsidR="00D03535" w:rsidRDefault="00D03535" w:rsidP="00D03535">
      <w:pPr>
        <w:ind w:left="701"/>
        <w:jc w:val="both"/>
        <w:rPr>
          <w:rFonts w:ascii="Arial" w:hAnsi="Arial"/>
          <w:i/>
          <w:iCs/>
          <w:sz w:val="22"/>
          <w:szCs w:val="22"/>
          <w:lang w:eastAsia="ar-SA" w:bidi="ar-SA"/>
        </w:rPr>
      </w:pPr>
      <w:r>
        <w:rPr>
          <w:rFonts w:ascii="Arial" w:hAnsi="Arial"/>
          <w:i/>
          <w:iCs/>
          <w:sz w:val="22"/>
          <w:szCs w:val="22"/>
        </w:rPr>
        <w:t>Wycenę bilansową należności należy zakończyć do ostatniego dnia lutego roku następnego.</w:t>
      </w:r>
    </w:p>
    <w:p w14:paraId="241F7B42" w14:textId="77777777" w:rsidR="00D03535" w:rsidRDefault="00D03535" w:rsidP="00D03535">
      <w:pPr>
        <w:ind w:left="701"/>
        <w:jc w:val="both"/>
        <w:rPr>
          <w:rFonts w:ascii="Arial" w:hAnsi="Arial"/>
          <w:i/>
          <w:iCs/>
          <w:sz w:val="22"/>
          <w:szCs w:val="22"/>
        </w:rPr>
      </w:pPr>
      <w:r>
        <w:rPr>
          <w:rFonts w:ascii="Arial" w:hAnsi="Arial"/>
          <w:i/>
          <w:iCs/>
          <w:sz w:val="22"/>
          <w:szCs w:val="22"/>
          <w:lang w:eastAsia="ar-SA" w:bidi="ar-SA"/>
        </w:rPr>
        <w:t>Należności spłacone po dacie bilansu, a przed terminem ustalenia odpisów aktualizujących, nie podlegają aktualizacji wyceny.</w:t>
      </w:r>
    </w:p>
    <w:p w14:paraId="66C84840" w14:textId="77777777" w:rsidR="00D03535" w:rsidRDefault="00D03535" w:rsidP="00D03535">
      <w:pPr>
        <w:rPr>
          <w:rFonts w:ascii="Arial" w:hAnsi="Arial"/>
          <w:i/>
          <w:iCs/>
          <w:sz w:val="22"/>
          <w:szCs w:val="22"/>
        </w:rPr>
      </w:pPr>
    </w:p>
    <w:p w14:paraId="2C889EB6" w14:textId="77777777" w:rsidR="00D03535" w:rsidRDefault="00D03535" w:rsidP="00D03535">
      <w:pPr>
        <w:jc w:val="both"/>
        <w:rPr>
          <w:rFonts w:ascii="Arial" w:hAnsi="Arial"/>
          <w:i/>
          <w:iCs/>
          <w:sz w:val="22"/>
          <w:szCs w:val="22"/>
        </w:rPr>
      </w:pPr>
      <w:r>
        <w:rPr>
          <w:rFonts w:ascii="Arial" w:hAnsi="Arial"/>
          <w:i/>
          <w:iCs/>
          <w:sz w:val="22"/>
          <w:szCs w:val="22"/>
          <w:lang w:eastAsia="ar-SA" w:bidi="ar-SA"/>
        </w:rPr>
        <w:t>4.13. Dopuszcza się umorzenie i odpisanie z ksiąg rachunkowych należności z tytułu pobytu w Ośrodku m.in. na podstawie postanowienia Naczelnika Urzędu Skarbowego, Komornika sądowego lub organu egzekucyjnego Gminy Częstochowa w sprawie umorzenia postępowania egzekucyjnego, zgonu dłużnika. Odpisanie należności może być dokonane na podstawie wyrażonej zgody dyrektora jednostki.</w:t>
      </w:r>
    </w:p>
    <w:p w14:paraId="103D6F55" w14:textId="77777777" w:rsidR="00D03535" w:rsidRDefault="00D03535" w:rsidP="00D03535">
      <w:pPr>
        <w:jc w:val="both"/>
        <w:rPr>
          <w:rFonts w:ascii="Arial" w:hAnsi="Arial"/>
          <w:i/>
          <w:iCs/>
          <w:sz w:val="22"/>
          <w:szCs w:val="22"/>
        </w:rPr>
      </w:pPr>
    </w:p>
    <w:p w14:paraId="1FE4C0BC" w14:textId="77777777" w:rsidR="00D03535" w:rsidRDefault="00D03535" w:rsidP="00D03535">
      <w:pPr>
        <w:rPr>
          <w:rFonts w:ascii="Arial" w:hAnsi="Arial"/>
          <w:b/>
          <w:bCs/>
          <w:i/>
          <w:iCs/>
          <w:sz w:val="22"/>
          <w:szCs w:val="22"/>
        </w:rPr>
      </w:pPr>
      <w:r>
        <w:rPr>
          <w:rFonts w:ascii="Arial" w:hAnsi="Arial"/>
          <w:b/>
          <w:bCs/>
          <w:i/>
          <w:iCs/>
          <w:sz w:val="22"/>
          <w:szCs w:val="22"/>
        </w:rPr>
        <w:tab/>
      </w:r>
      <w:r>
        <w:rPr>
          <w:rFonts w:ascii="Arial" w:hAnsi="Arial"/>
          <w:b/>
          <w:bCs/>
          <w:i/>
          <w:iCs/>
          <w:sz w:val="22"/>
          <w:szCs w:val="22"/>
          <w:u w:val="single"/>
        </w:rPr>
        <w:t>Pozostałe aktywa i pasywa:</w:t>
      </w:r>
    </w:p>
    <w:p w14:paraId="25C2B042" w14:textId="77777777" w:rsidR="00D03535" w:rsidRDefault="00D03535" w:rsidP="00D03535">
      <w:pPr>
        <w:rPr>
          <w:rFonts w:ascii="Arial" w:hAnsi="Arial"/>
          <w:b/>
          <w:bCs/>
          <w:i/>
          <w:iCs/>
          <w:sz w:val="22"/>
          <w:szCs w:val="22"/>
        </w:rPr>
      </w:pPr>
    </w:p>
    <w:p w14:paraId="38F0A427" w14:textId="77777777" w:rsidR="00D03535" w:rsidRDefault="00D03535" w:rsidP="00D03535">
      <w:pPr>
        <w:jc w:val="both"/>
        <w:rPr>
          <w:rFonts w:ascii="Arial" w:hAnsi="Arial"/>
          <w:i/>
          <w:iCs/>
          <w:sz w:val="22"/>
          <w:szCs w:val="22"/>
        </w:rPr>
      </w:pPr>
      <w:r>
        <w:rPr>
          <w:rFonts w:ascii="Arial" w:hAnsi="Arial"/>
          <w:i/>
          <w:iCs/>
          <w:sz w:val="22"/>
          <w:szCs w:val="22"/>
          <w:lang w:eastAsia="ar-SA" w:bidi="ar-SA"/>
        </w:rPr>
        <w:t>4.14.Rzeczowe składniki majątku obrotowego (w tym materiały, otrzymane nieodpłatnie, jakimi dysponuje jednostka) wycenia się na dzień bilansowy według cen nabycia. Jednostka co do zasady nie prowadzi ewidencji obrotu materiałowego, za wyjątkiem materiałów nie przeznaczonych do bieżącego zużycia. Zakupione materiały (w tym paliwo, środki czystości, materiały biurowe) przekazywane są bezpośrednio do zużycia w momencie zakupu i ewidencjonowane w koszty.</w:t>
      </w:r>
    </w:p>
    <w:p w14:paraId="02D62D49" w14:textId="77777777" w:rsidR="00D03535" w:rsidRDefault="00D03535" w:rsidP="00D03535">
      <w:pPr>
        <w:rPr>
          <w:rFonts w:ascii="Arial" w:hAnsi="Arial"/>
          <w:i/>
          <w:iCs/>
          <w:sz w:val="22"/>
          <w:szCs w:val="22"/>
        </w:rPr>
      </w:pPr>
    </w:p>
    <w:p w14:paraId="6D93F713" w14:textId="77777777" w:rsidR="00D03535" w:rsidRDefault="00D03535" w:rsidP="00D03535">
      <w:pPr>
        <w:jc w:val="both"/>
        <w:rPr>
          <w:rFonts w:ascii="Arial" w:hAnsi="Arial"/>
          <w:i/>
          <w:iCs/>
          <w:sz w:val="22"/>
          <w:szCs w:val="22"/>
        </w:rPr>
      </w:pPr>
      <w:r>
        <w:rPr>
          <w:rFonts w:ascii="Arial" w:hAnsi="Arial"/>
          <w:i/>
          <w:iCs/>
          <w:sz w:val="22"/>
          <w:szCs w:val="22"/>
          <w:lang w:eastAsia="ar-SA" w:bidi="ar-SA"/>
        </w:rPr>
        <w:t xml:space="preserve">4.15. Środki pieniężne w kasie i na rachunkach bankowych wycenia się według wartości nominalnej. </w:t>
      </w:r>
    </w:p>
    <w:p w14:paraId="607A7E87" w14:textId="77777777" w:rsidR="00D03535" w:rsidRDefault="00D03535" w:rsidP="00D03535">
      <w:pPr>
        <w:jc w:val="both"/>
        <w:rPr>
          <w:rFonts w:ascii="Arial" w:hAnsi="Arial"/>
          <w:i/>
          <w:iCs/>
          <w:sz w:val="22"/>
          <w:szCs w:val="22"/>
        </w:rPr>
      </w:pPr>
    </w:p>
    <w:p w14:paraId="5654DDBA" w14:textId="77777777" w:rsidR="00D03535" w:rsidRDefault="00D03535" w:rsidP="00D03535">
      <w:pPr>
        <w:jc w:val="both"/>
        <w:rPr>
          <w:rFonts w:ascii="Arial" w:hAnsi="Arial"/>
          <w:i/>
          <w:iCs/>
          <w:sz w:val="22"/>
          <w:szCs w:val="22"/>
        </w:rPr>
      </w:pPr>
      <w:r>
        <w:rPr>
          <w:rFonts w:ascii="Arial" w:hAnsi="Arial"/>
          <w:i/>
          <w:iCs/>
          <w:sz w:val="22"/>
          <w:szCs w:val="22"/>
          <w:lang w:eastAsia="ar-SA" w:bidi="ar-SA"/>
        </w:rPr>
        <w:t xml:space="preserve">4.16.Walutę obcą wycenia się według kursu średniego danej waluty ustalonego przez Prezesa NBP na ten dzień. W ciągu roku operacje sprzedaży i kupna walut oraz operacje zapłaty należności lub zobowiązań wycenia się po kursie kupna lub sprzedaży banku, z którego usług korzysta jednostka. </w:t>
      </w:r>
    </w:p>
    <w:p w14:paraId="10CB1CDD" w14:textId="77777777" w:rsidR="00D03535" w:rsidRDefault="00D03535" w:rsidP="00D03535">
      <w:pPr>
        <w:rPr>
          <w:rFonts w:ascii="Arial" w:hAnsi="Arial"/>
          <w:sz w:val="22"/>
          <w:szCs w:val="22"/>
        </w:rPr>
      </w:pPr>
      <w:r>
        <w:rPr>
          <w:rFonts w:ascii="Arial" w:hAnsi="Arial"/>
          <w:i/>
          <w:iCs/>
          <w:sz w:val="22"/>
          <w:szCs w:val="22"/>
        </w:rPr>
        <w:t xml:space="preserve"> </w:t>
      </w:r>
    </w:p>
    <w:p w14:paraId="5B1EFA2A" w14:textId="77777777" w:rsidR="00D03535" w:rsidRDefault="00D03535" w:rsidP="00D03535">
      <w:pPr>
        <w:numPr>
          <w:ilvl w:val="0"/>
          <w:numId w:val="1"/>
        </w:numPr>
        <w:jc w:val="both"/>
        <w:rPr>
          <w:rFonts w:ascii="Arial" w:hAnsi="Arial"/>
          <w:i/>
          <w:iCs/>
          <w:sz w:val="22"/>
          <w:szCs w:val="22"/>
        </w:rPr>
      </w:pPr>
      <w:r>
        <w:rPr>
          <w:rFonts w:ascii="Arial" w:hAnsi="Arial"/>
          <w:sz w:val="22"/>
          <w:szCs w:val="22"/>
        </w:rPr>
        <w:t xml:space="preserve">Inne informacje </w:t>
      </w:r>
    </w:p>
    <w:p w14:paraId="4E6FF9B8" w14:textId="77777777" w:rsidR="00D03535" w:rsidRDefault="00D03535" w:rsidP="00D03535">
      <w:pPr>
        <w:rPr>
          <w:rFonts w:ascii="Arial" w:hAnsi="Arial"/>
          <w:i/>
          <w:iCs/>
          <w:sz w:val="22"/>
          <w:szCs w:val="22"/>
        </w:rPr>
      </w:pPr>
    </w:p>
    <w:p w14:paraId="38CBE73A" w14:textId="77777777" w:rsidR="00D03535" w:rsidRDefault="00D03535" w:rsidP="00D03535">
      <w:pPr>
        <w:rPr>
          <w:rFonts w:ascii="Arial" w:hAnsi="Arial"/>
          <w:i/>
          <w:iCs/>
          <w:sz w:val="22"/>
          <w:szCs w:val="22"/>
        </w:rPr>
      </w:pPr>
      <w:r>
        <w:rPr>
          <w:rFonts w:ascii="Arial" w:hAnsi="Arial"/>
          <w:b/>
          <w:bCs/>
          <w:sz w:val="22"/>
          <w:szCs w:val="22"/>
        </w:rPr>
        <w:t xml:space="preserve">II. Dodatkowe informacje i objaśnienia obejmują w szczególności: </w:t>
      </w:r>
    </w:p>
    <w:p w14:paraId="01727EAE" w14:textId="77777777" w:rsidR="00D03535" w:rsidRDefault="00D03535" w:rsidP="00D03535">
      <w:pPr>
        <w:rPr>
          <w:rFonts w:ascii="Arial" w:hAnsi="Arial"/>
          <w:i/>
          <w:iCs/>
          <w:sz w:val="22"/>
          <w:szCs w:val="22"/>
        </w:rPr>
      </w:pPr>
    </w:p>
    <w:p w14:paraId="20728E30" w14:textId="77777777" w:rsidR="00D03535" w:rsidRDefault="00D03535" w:rsidP="00D03535">
      <w:pPr>
        <w:numPr>
          <w:ilvl w:val="0"/>
          <w:numId w:val="5"/>
        </w:numPr>
        <w:rPr>
          <w:rFonts w:ascii="Arial" w:hAnsi="Arial"/>
          <w:sz w:val="22"/>
          <w:szCs w:val="22"/>
        </w:rPr>
      </w:pPr>
    </w:p>
    <w:p w14:paraId="65C58B06" w14:textId="77777777" w:rsidR="00D03535" w:rsidRDefault="00D03535" w:rsidP="00D03535">
      <w:pPr>
        <w:jc w:val="both"/>
        <w:rPr>
          <w:rFonts w:ascii="Arial" w:hAnsi="Arial"/>
          <w:i/>
          <w:iCs/>
          <w:sz w:val="22"/>
          <w:szCs w:val="22"/>
        </w:rPr>
      </w:pPr>
      <w:r>
        <w:rPr>
          <w:rFonts w:ascii="Arial" w:hAnsi="Arial"/>
          <w:sz w:val="22"/>
          <w:szCs w:val="22"/>
        </w:rPr>
        <w:t xml:space="preserve">1.1. Szczegółowy zakres zmian wartości grup rodzajowych środków trwałych, wartości         </w:t>
      </w:r>
      <w:r>
        <w:rPr>
          <w:rFonts w:ascii="Arial" w:hAnsi="Arial"/>
          <w:sz w:val="22"/>
          <w:szCs w:val="22"/>
        </w:rPr>
        <w:lastRenderedPageBreak/>
        <w:t>niematerialnych i prawnych oraz zmian dotychczasowej amortyzacji lub umorzenia.</w:t>
      </w:r>
    </w:p>
    <w:p w14:paraId="66734460" w14:textId="77777777" w:rsidR="00D03535" w:rsidRDefault="00D03535" w:rsidP="00D03535">
      <w:pPr>
        <w:rPr>
          <w:rFonts w:ascii="Arial" w:hAnsi="Arial"/>
          <w:i/>
          <w:iCs/>
          <w:sz w:val="22"/>
          <w:szCs w:val="22"/>
        </w:rPr>
      </w:pPr>
      <w:r>
        <w:rPr>
          <w:rFonts w:ascii="Arial" w:hAnsi="Arial"/>
          <w:i/>
          <w:iCs/>
          <w:sz w:val="22"/>
          <w:szCs w:val="22"/>
        </w:rPr>
        <w:tab/>
      </w:r>
    </w:p>
    <w:p w14:paraId="6F12FB47"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Tabela nr 1 i Tabela nr 2 </w:t>
      </w:r>
    </w:p>
    <w:p w14:paraId="463EBBEB" w14:textId="77777777" w:rsidR="00D03535" w:rsidRDefault="00D03535" w:rsidP="00D03535">
      <w:pPr>
        <w:rPr>
          <w:rFonts w:ascii="Arial" w:hAnsi="Arial"/>
          <w:i/>
          <w:iCs/>
          <w:sz w:val="22"/>
          <w:szCs w:val="22"/>
        </w:rPr>
      </w:pPr>
    </w:p>
    <w:p w14:paraId="6FBBFA37" w14:textId="77777777" w:rsidR="00D03535" w:rsidRDefault="00D03535" w:rsidP="00D03535">
      <w:pPr>
        <w:jc w:val="both"/>
        <w:rPr>
          <w:rFonts w:ascii="Arial" w:hAnsi="Arial"/>
          <w:i/>
          <w:iCs/>
          <w:sz w:val="22"/>
          <w:szCs w:val="22"/>
        </w:rPr>
      </w:pPr>
      <w:r>
        <w:rPr>
          <w:rFonts w:ascii="Arial" w:hAnsi="Arial"/>
          <w:sz w:val="22"/>
          <w:szCs w:val="22"/>
        </w:rPr>
        <w:t>1.2. Aktualna wartość rynkowa środków trwałych, w tym dóbr kultury – o ile jednostka dysponuje takimi informacjami.</w:t>
      </w:r>
    </w:p>
    <w:p w14:paraId="197AF3A3" w14:textId="77777777" w:rsidR="00D03535" w:rsidRDefault="00D03535" w:rsidP="00D03535">
      <w:pPr>
        <w:rPr>
          <w:rFonts w:ascii="Arial" w:hAnsi="Arial"/>
          <w:sz w:val="22"/>
          <w:szCs w:val="22"/>
        </w:rPr>
      </w:pPr>
      <w:r>
        <w:rPr>
          <w:rFonts w:ascii="Arial" w:hAnsi="Arial"/>
          <w:i/>
          <w:iCs/>
          <w:sz w:val="22"/>
          <w:szCs w:val="22"/>
        </w:rPr>
        <w:tab/>
      </w:r>
    </w:p>
    <w:p w14:paraId="1CE17E2C" w14:textId="77777777" w:rsidR="00D03535" w:rsidRDefault="00D03535" w:rsidP="00D03535">
      <w:pPr>
        <w:jc w:val="both"/>
        <w:rPr>
          <w:rFonts w:ascii="Arial" w:hAnsi="Arial"/>
          <w:i/>
          <w:iCs/>
          <w:sz w:val="22"/>
          <w:szCs w:val="22"/>
        </w:rPr>
      </w:pPr>
      <w:r>
        <w:rPr>
          <w:rFonts w:ascii="Arial" w:hAnsi="Arial"/>
          <w:sz w:val="22"/>
          <w:szCs w:val="22"/>
        </w:rPr>
        <w:tab/>
      </w:r>
      <w:r>
        <w:rPr>
          <w:rFonts w:ascii="Arial" w:hAnsi="Arial"/>
          <w:b/>
          <w:bCs/>
          <w:i/>
          <w:iCs/>
          <w:sz w:val="22"/>
          <w:szCs w:val="22"/>
        </w:rPr>
        <w:t>Tabela nr 3</w:t>
      </w:r>
      <w:r>
        <w:rPr>
          <w:rFonts w:ascii="Arial" w:hAnsi="Arial"/>
          <w:i/>
          <w:iCs/>
          <w:sz w:val="22"/>
          <w:szCs w:val="22"/>
        </w:rPr>
        <w:t xml:space="preserve"> – Jednostka nie posiada danych odnośnie wartości rynkowej środków </w:t>
      </w:r>
      <w:r>
        <w:rPr>
          <w:rFonts w:ascii="Arial" w:hAnsi="Arial"/>
          <w:i/>
          <w:iCs/>
          <w:sz w:val="22"/>
          <w:szCs w:val="22"/>
        </w:rPr>
        <w:tab/>
        <w:t>trwałych.</w:t>
      </w:r>
    </w:p>
    <w:p w14:paraId="11B21C2E" w14:textId="77777777" w:rsidR="00D03535" w:rsidRDefault="00D03535" w:rsidP="00D03535">
      <w:pPr>
        <w:rPr>
          <w:rFonts w:ascii="Arial" w:hAnsi="Arial"/>
          <w:i/>
          <w:iCs/>
          <w:sz w:val="22"/>
          <w:szCs w:val="22"/>
        </w:rPr>
      </w:pPr>
    </w:p>
    <w:p w14:paraId="78EFBB0B" w14:textId="77777777" w:rsidR="00D03535" w:rsidRDefault="00D03535" w:rsidP="00D03535">
      <w:pPr>
        <w:jc w:val="both"/>
        <w:rPr>
          <w:rFonts w:ascii="Arial" w:hAnsi="Arial"/>
          <w:sz w:val="22"/>
          <w:szCs w:val="22"/>
        </w:rPr>
      </w:pPr>
      <w:r>
        <w:rPr>
          <w:rFonts w:ascii="Arial" w:hAnsi="Arial"/>
          <w:sz w:val="22"/>
          <w:szCs w:val="22"/>
        </w:rPr>
        <w:t xml:space="preserve">1.3. Kwota dokonanych w trakcie roku obrotowego odpisów aktualizujących wartość aktywów trwałych odrębnie dla długoterminowych aktywów niefinansowych oraz długoterminowych aktywów finansowych. </w:t>
      </w:r>
    </w:p>
    <w:p w14:paraId="1FE786E4" w14:textId="77777777" w:rsidR="00D03535" w:rsidRDefault="00D03535" w:rsidP="00D03535">
      <w:pPr>
        <w:jc w:val="both"/>
        <w:rPr>
          <w:rFonts w:ascii="Arial" w:hAnsi="Arial"/>
          <w:sz w:val="22"/>
          <w:szCs w:val="22"/>
        </w:rPr>
      </w:pPr>
    </w:p>
    <w:p w14:paraId="102E8FE7" w14:textId="77777777" w:rsidR="00D03535" w:rsidRDefault="00D03535" w:rsidP="00D03535">
      <w:pPr>
        <w:ind w:left="730"/>
        <w:jc w:val="both"/>
        <w:rPr>
          <w:rFonts w:ascii="Arial" w:hAnsi="Arial"/>
          <w:i/>
          <w:iCs/>
          <w:sz w:val="22"/>
          <w:szCs w:val="22"/>
        </w:rPr>
      </w:pPr>
      <w:r>
        <w:rPr>
          <w:rFonts w:ascii="Arial" w:hAnsi="Arial"/>
          <w:b/>
          <w:bCs/>
          <w:i/>
          <w:iCs/>
          <w:sz w:val="22"/>
          <w:szCs w:val="22"/>
        </w:rPr>
        <w:t xml:space="preserve">Tabela nr 4 i Tabela nr 5 </w:t>
      </w:r>
      <w:r>
        <w:rPr>
          <w:rFonts w:ascii="Arial" w:hAnsi="Arial"/>
          <w:i/>
          <w:iCs/>
          <w:sz w:val="22"/>
          <w:szCs w:val="22"/>
        </w:rPr>
        <w:t>– Jednostka nie dokonywała odpisów aktualizujących wartość aktywów trwałych.</w:t>
      </w:r>
    </w:p>
    <w:p w14:paraId="655357CC" w14:textId="77777777" w:rsidR="00D03535" w:rsidRDefault="00D03535" w:rsidP="00D03535">
      <w:pPr>
        <w:rPr>
          <w:rFonts w:ascii="Arial" w:hAnsi="Arial"/>
          <w:i/>
          <w:iCs/>
          <w:sz w:val="22"/>
          <w:szCs w:val="22"/>
        </w:rPr>
      </w:pPr>
    </w:p>
    <w:p w14:paraId="495C26DE" w14:textId="77777777" w:rsidR="00D03535" w:rsidRDefault="00D03535" w:rsidP="00D03535">
      <w:pPr>
        <w:jc w:val="both"/>
      </w:pPr>
      <w:r>
        <w:rPr>
          <w:rFonts w:ascii="Arial" w:hAnsi="Arial"/>
          <w:sz w:val="22"/>
          <w:szCs w:val="22"/>
        </w:rPr>
        <w:t xml:space="preserve">1.4. Wartość gruntów użytkowanych wieczyści. </w:t>
      </w:r>
    </w:p>
    <w:p w14:paraId="6F4BF2DB" w14:textId="77777777" w:rsidR="00D03535" w:rsidRDefault="00D03535" w:rsidP="00D03535">
      <w:pPr>
        <w:jc w:val="both"/>
      </w:pPr>
    </w:p>
    <w:p w14:paraId="4FB09E17"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Tabela nr 6 </w:t>
      </w:r>
      <w:r>
        <w:rPr>
          <w:rFonts w:ascii="Arial" w:hAnsi="Arial"/>
          <w:i/>
          <w:iCs/>
          <w:sz w:val="22"/>
          <w:szCs w:val="22"/>
        </w:rPr>
        <w:t>– Jednostka nie posiada gruntów użytkowanych wieczyście.</w:t>
      </w:r>
    </w:p>
    <w:p w14:paraId="45ADACCD" w14:textId="77777777" w:rsidR="00D03535" w:rsidRDefault="00D03535" w:rsidP="00D03535">
      <w:pPr>
        <w:rPr>
          <w:rFonts w:ascii="Arial" w:hAnsi="Arial"/>
          <w:i/>
          <w:iCs/>
          <w:sz w:val="22"/>
          <w:szCs w:val="22"/>
        </w:rPr>
      </w:pPr>
    </w:p>
    <w:p w14:paraId="32CB0326" w14:textId="77777777" w:rsidR="00D03535" w:rsidRDefault="00D03535" w:rsidP="00D03535">
      <w:pPr>
        <w:jc w:val="both"/>
        <w:rPr>
          <w:rFonts w:ascii="Arial" w:hAnsi="Arial"/>
          <w:sz w:val="22"/>
          <w:szCs w:val="22"/>
        </w:rPr>
      </w:pPr>
      <w:r>
        <w:rPr>
          <w:rFonts w:ascii="Arial" w:hAnsi="Arial"/>
          <w:sz w:val="22"/>
          <w:szCs w:val="22"/>
        </w:rPr>
        <w:t xml:space="preserve">1.5. Wartość nieamortyzowanych lub nieumarzanych przez jednostkę środków trwałych, używanych na podstawie umów najmu, dzierżawy i innych umów, w tym z tytułu umów leasingu. </w:t>
      </w:r>
    </w:p>
    <w:p w14:paraId="31449801" w14:textId="77777777" w:rsidR="00D03535" w:rsidRDefault="00D03535" w:rsidP="00D03535">
      <w:pPr>
        <w:jc w:val="both"/>
        <w:rPr>
          <w:rFonts w:ascii="Arial" w:hAnsi="Arial"/>
          <w:sz w:val="22"/>
          <w:szCs w:val="22"/>
        </w:rPr>
      </w:pPr>
    </w:p>
    <w:p w14:paraId="2F8837FB" w14:textId="77777777" w:rsidR="00D03535" w:rsidRDefault="00D03535" w:rsidP="00D03535">
      <w:pPr>
        <w:jc w:val="both"/>
        <w:rPr>
          <w:rFonts w:ascii="Arial" w:hAnsi="Arial"/>
          <w:i/>
          <w:iCs/>
          <w:sz w:val="22"/>
          <w:szCs w:val="22"/>
        </w:rPr>
      </w:pPr>
      <w:r>
        <w:rPr>
          <w:rFonts w:ascii="Arial" w:hAnsi="Arial"/>
          <w:b/>
          <w:bCs/>
          <w:i/>
          <w:iCs/>
          <w:sz w:val="22"/>
          <w:szCs w:val="22"/>
        </w:rPr>
        <w:tab/>
        <w:t>Tabela nr 7</w:t>
      </w:r>
      <w:r>
        <w:rPr>
          <w:rFonts w:ascii="Arial" w:hAnsi="Arial"/>
          <w:i/>
          <w:iCs/>
          <w:sz w:val="22"/>
          <w:szCs w:val="22"/>
        </w:rPr>
        <w:t xml:space="preserve"> – Jednostka nie posiada środków trwałych używanych na podstawie umów </w:t>
      </w:r>
      <w:r>
        <w:rPr>
          <w:rFonts w:ascii="Arial" w:hAnsi="Arial"/>
          <w:i/>
          <w:iCs/>
          <w:sz w:val="22"/>
          <w:szCs w:val="22"/>
        </w:rPr>
        <w:tab/>
        <w:t xml:space="preserve">najmu, dzierżawy i innych umów, w tym z tytułu umów leasingu. </w:t>
      </w:r>
    </w:p>
    <w:p w14:paraId="17D854F4" w14:textId="77777777" w:rsidR="00D03535" w:rsidRDefault="00D03535" w:rsidP="00D03535">
      <w:pPr>
        <w:rPr>
          <w:rFonts w:ascii="Arial" w:hAnsi="Arial"/>
          <w:i/>
          <w:iCs/>
          <w:sz w:val="22"/>
          <w:szCs w:val="22"/>
        </w:rPr>
      </w:pPr>
    </w:p>
    <w:p w14:paraId="613FD407" w14:textId="77777777" w:rsidR="00D03535" w:rsidRDefault="00D03535" w:rsidP="00D03535">
      <w:pPr>
        <w:jc w:val="both"/>
        <w:rPr>
          <w:rFonts w:ascii="Arial" w:hAnsi="Arial"/>
          <w:sz w:val="22"/>
          <w:szCs w:val="22"/>
        </w:rPr>
      </w:pPr>
      <w:r>
        <w:rPr>
          <w:rFonts w:ascii="Arial" w:hAnsi="Arial"/>
          <w:sz w:val="22"/>
          <w:szCs w:val="22"/>
        </w:rPr>
        <w:t>1.6. Liczbę oraz wartość posiadanych papierów wartościowych, w tym akcji i udziałów oraz dłużnych papierów wartościowych.</w:t>
      </w:r>
    </w:p>
    <w:p w14:paraId="68B60401" w14:textId="77777777" w:rsidR="00D03535" w:rsidRDefault="00D03535" w:rsidP="00D03535">
      <w:pPr>
        <w:jc w:val="both"/>
        <w:rPr>
          <w:rFonts w:ascii="Arial" w:hAnsi="Arial"/>
          <w:sz w:val="22"/>
          <w:szCs w:val="22"/>
        </w:rPr>
      </w:pPr>
    </w:p>
    <w:p w14:paraId="29C4970C" w14:textId="77777777" w:rsidR="00D03535" w:rsidRDefault="00D03535" w:rsidP="00D03535">
      <w:pPr>
        <w:jc w:val="both"/>
        <w:rPr>
          <w:rFonts w:ascii="Arial" w:hAnsi="Arial"/>
          <w:i/>
          <w:iCs/>
          <w:sz w:val="22"/>
          <w:szCs w:val="22"/>
        </w:rPr>
      </w:pPr>
      <w:r>
        <w:rPr>
          <w:rFonts w:ascii="Arial" w:hAnsi="Arial"/>
          <w:i/>
          <w:iCs/>
          <w:sz w:val="22"/>
          <w:szCs w:val="22"/>
        </w:rPr>
        <w:tab/>
      </w:r>
      <w:r>
        <w:rPr>
          <w:rFonts w:ascii="Arial" w:hAnsi="Arial"/>
          <w:b/>
          <w:bCs/>
          <w:i/>
          <w:iCs/>
          <w:sz w:val="22"/>
          <w:szCs w:val="22"/>
        </w:rPr>
        <w:t xml:space="preserve">Tabela nr 8 </w:t>
      </w:r>
      <w:r>
        <w:rPr>
          <w:rFonts w:ascii="Arial" w:hAnsi="Arial"/>
          <w:i/>
          <w:iCs/>
          <w:sz w:val="22"/>
          <w:szCs w:val="22"/>
        </w:rPr>
        <w:t xml:space="preserve">– Jednostka nie posiada papierów wartościowych, w tym akcji i udziałów oraz </w:t>
      </w:r>
      <w:r>
        <w:rPr>
          <w:rFonts w:ascii="Arial" w:hAnsi="Arial"/>
          <w:i/>
          <w:iCs/>
          <w:sz w:val="22"/>
          <w:szCs w:val="22"/>
        </w:rPr>
        <w:tab/>
        <w:t>dłużnych papierów wartościowych.</w:t>
      </w:r>
    </w:p>
    <w:p w14:paraId="75E3646C" w14:textId="77777777" w:rsidR="00D03535" w:rsidRDefault="00D03535" w:rsidP="00D03535">
      <w:pPr>
        <w:rPr>
          <w:rFonts w:ascii="Arial" w:hAnsi="Arial"/>
          <w:i/>
          <w:iCs/>
          <w:sz w:val="22"/>
          <w:szCs w:val="22"/>
        </w:rPr>
      </w:pPr>
    </w:p>
    <w:p w14:paraId="2F9084DD" w14:textId="77777777" w:rsidR="00D03535" w:rsidRDefault="00D03535" w:rsidP="00D03535">
      <w:pPr>
        <w:jc w:val="both"/>
        <w:rPr>
          <w:rFonts w:ascii="Arial" w:hAnsi="Arial"/>
          <w:i/>
          <w:iCs/>
          <w:sz w:val="22"/>
          <w:szCs w:val="22"/>
        </w:rPr>
      </w:pPr>
      <w:r>
        <w:rPr>
          <w:rFonts w:ascii="Arial" w:hAnsi="Arial"/>
          <w:sz w:val="22"/>
          <w:szCs w:val="22"/>
        </w:rPr>
        <w:t xml:space="preserve">1.7. Dane o odpisach aktualizujących wartość należności, ze wskazaniem stanu na początek roku obrotowego, zwiększeniach, wykorzystaniu, rozwiązaniu i stanie na koniec roku obrotowego, z uwzględnieniem należności finansowych jednostek samorządu terytorialnego (stan pożyczek zagrożonych). </w:t>
      </w:r>
    </w:p>
    <w:p w14:paraId="5645CF0D" w14:textId="77777777" w:rsidR="00D03535" w:rsidRDefault="00D03535" w:rsidP="00D03535">
      <w:pPr>
        <w:rPr>
          <w:rFonts w:ascii="Arial" w:hAnsi="Arial"/>
          <w:i/>
          <w:iCs/>
          <w:sz w:val="22"/>
          <w:szCs w:val="22"/>
        </w:rPr>
      </w:pPr>
      <w:r>
        <w:rPr>
          <w:rFonts w:ascii="Arial" w:hAnsi="Arial"/>
          <w:i/>
          <w:iCs/>
          <w:sz w:val="22"/>
          <w:szCs w:val="22"/>
        </w:rPr>
        <w:tab/>
      </w:r>
    </w:p>
    <w:p w14:paraId="4F250B7A"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Tabela nr 9 </w:t>
      </w:r>
    </w:p>
    <w:p w14:paraId="5B36146C" w14:textId="77777777" w:rsidR="00D03535" w:rsidRDefault="00D03535" w:rsidP="00D03535">
      <w:pPr>
        <w:rPr>
          <w:rFonts w:ascii="Arial" w:hAnsi="Arial"/>
          <w:i/>
          <w:iCs/>
          <w:sz w:val="22"/>
          <w:szCs w:val="22"/>
        </w:rPr>
      </w:pPr>
    </w:p>
    <w:p w14:paraId="44BA498D" w14:textId="77777777" w:rsidR="00D03535" w:rsidRDefault="00D03535" w:rsidP="00D03535">
      <w:pPr>
        <w:jc w:val="both"/>
        <w:rPr>
          <w:rFonts w:ascii="Arial" w:hAnsi="Arial"/>
          <w:sz w:val="22"/>
          <w:szCs w:val="22"/>
        </w:rPr>
      </w:pPr>
      <w:r>
        <w:rPr>
          <w:rFonts w:ascii="Arial" w:hAnsi="Arial"/>
          <w:sz w:val="22"/>
          <w:szCs w:val="22"/>
        </w:rPr>
        <w:t xml:space="preserve">1.8. Dane o stanie rezerw według celu ich utworzenia na początek roku obrotowego, zwiększeniach, wykorzystaniu, rozwiązaniu i stanie końcowym. </w:t>
      </w:r>
    </w:p>
    <w:p w14:paraId="39A489A7" w14:textId="77777777" w:rsidR="00D03535" w:rsidRDefault="00D03535" w:rsidP="00D03535">
      <w:pPr>
        <w:jc w:val="both"/>
        <w:rPr>
          <w:rFonts w:ascii="Arial" w:hAnsi="Arial"/>
          <w:sz w:val="22"/>
          <w:szCs w:val="22"/>
        </w:rPr>
      </w:pPr>
    </w:p>
    <w:p w14:paraId="6DC855F0" w14:textId="299BBDFB"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Tabela nr 10 </w:t>
      </w:r>
      <w:r>
        <w:rPr>
          <w:rFonts w:ascii="Arial" w:hAnsi="Arial"/>
          <w:i/>
          <w:iCs/>
          <w:sz w:val="22"/>
          <w:szCs w:val="22"/>
        </w:rPr>
        <w:t xml:space="preserve">– Jednostka na koniec okresu sprawozdawczego nie posiada rezerw. </w:t>
      </w:r>
    </w:p>
    <w:p w14:paraId="3995DADD" w14:textId="77777777" w:rsidR="00D03535" w:rsidRDefault="00D03535" w:rsidP="00D03535">
      <w:pPr>
        <w:rPr>
          <w:rFonts w:ascii="Arial" w:hAnsi="Arial"/>
          <w:i/>
          <w:iCs/>
          <w:sz w:val="22"/>
          <w:szCs w:val="22"/>
        </w:rPr>
      </w:pPr>
    </w:p>
    <w:p w14:paraId="44FA21BB" w14:textId="77777777" w:rsidR="00D03535" w:rsidRDefault="00D03535" w:rsidP="00D03535">
      <w:pPr>
        <w:jc w:val="both"/>
        <w:rPr>
          <w:rFonts w:ascii="Arial" w:hAnsi="Arial"/>
          <w:sz w:val="22"/>
          <w:szCs w:val="22"/>
        </w:rPr>
      </w:pPr>
      <w:r>
        <w:rPr>
          <w:rFonts w:ascii="Arial" w:hAnsi="Arial"/>
          <w:sz w:val="22"/>
          <w:szCs w:val="22"/>
        </w:rPr>
        <w:t xml:space="preserve">1.9. Podział zobowiązań długoterminowych według pozycji bilansu o pozostałym od dnia bilansowego, przewidywanym umową lub wynikającym z innego tytułu prawnego, okresie spłaty: </w:t>
      </w:r>
    </w:p>
    <w:p w14:paraId="4AECEDC8" w14:textId="77777777" w:rsidR="00D03535" w:rsidRDefault="00D03535" w:rsidP="00D03535">
      <w:pPr>
        <w:numPr>
          <w:ilvl w:val="0"/>
          <w:numId w:val="6"/>
        </w:numPr>
        <w:rPr>
          <w:rFonts w:ascii="Arial" w:hAnsi="Arial"/>
          <w:i/>
          <w:iCs/>
          <w:sz w:val="22"/>
          <w:szCs w:val="22"/>
        </w:rPr>
      </w:pPr>
      <w:r>
        <w:rPr>
          <w:rFonts w:ascii="Arial" w:hAnsi="Arial"/>
          <w:sz w:val="22"/>
          <w:szCs w:val="22"/>
        </w:rPr>
        <w:t xml:space="preserve">powyżej 1 roku do 3 lat </w:t>
      </w:r>
    </w:p>
    <w:p w14:paraId="7E6AEC3E" w14:textId="44F314AC" w:rsidR="00D03535" w:rsidRDefault="00D03535" w:rsidP="00D03535">
      <w:pPr>
        <w:jc w:val="both"/>
        <w:rPr>
          <w:rFonts w:ascii="Arial" w:hAnsi="Arial"/>
          <w:sz w:val="22"/>
          <w:szCs w:val="22"/>
        </w:rPr>
      </w:pPr>
      <w:r>
        <w:rPr>
          <w:rFonts w:ascii="Arial" w:hAnsi="Arial"/>
          <w:i/>
          <w:iCs/>
          <w:sz w:val="22"/>
          <w:szCs w:val="22"/>
        </w:rPr>
        <w:t>Jednostka nie posiada zobowiązań długoterminowych o okresie spłaty powyżej 1 roku do 3 lat.</w:t>
      </w:r>
    </w:p>
    <w:p w14:paraId="66F5F783" w14:textId="77777777" w:rsidR="00D03535" w:rsidRDefault="00D03535" w:rsidP="00D03535">
      <w:pPr>
        <w:numPr>
          <w:ilvl w:val="0"/>
          <w:numId w:val="6"/>
        </w:numPr>
        <w:rPr>
          <w:rFonts w:ascii="Arial" w:hAnsi="Arial"/>
          <w:i/>
          <w:iCs/>
          <w:sz w:val="22"/>
          <w:szCs w:val="22"/>
        </w:rPr>
      </w:pPr>
      <w:r>
        <w:rPr>
          <w:rFonts w:ascii="Arial" w:hAnsi="Arial"/>
          <w:sz w:val="22"/>
          <w:szCs w:val="22"/>
        </w:rPr>
        <w:t>powyżej 3 do 5 lat</w:t>
      </w:r>
    </w:p>
    <w:p w14:paraId="05255980" w14:textId="77777777" w:rsidR="00D03535" w:rsidRDefault="00D03535" w:rsidP="00D03535">
      <w:pPr>
        <w:jc w:val="both"/>
        <w:rPr>
          <w:rFonts w:ascii="Arial" w:hAnsi="Arial"/>
          <w:sz w:val="22"/>
          <w:szCs w:val="22"/>
        </w:rPr>
      </w:pPr>
      <w:r>
        <w:rPr>
          <w:rFonts w:ascii="Arial" w:hAnsi="Arial"/>
          <w:i/>
          <w:iCs/>
          <w:sz w:val="22"/>
          <w:szCs w:val="22"/>
        </w:rPr>
        <w:t>Jednostka nie posiada zobowiązań długoterminowych o okresie spłaty powyżej 3 do 5 lat.</w:t>
      </w:r>
    </w:p>
    <w:p w14:paraId="04E72F1D" w14:textId="77777777" w:rsidR="00D03535" w:rsidRDefault="00D03535" w:rsidP="00D03535">
      <w:pPr>
        <w:numPr>
          <w:ilvl w:val="0"/>
          <w:numId w:val="6"/>
        </w:numPr>
        <w:rPr>
          <w:rFonts w:ascii="Arial" w:hAnsi="Arial"/>
          <w:i/>
          <w:iCs/>
          <w:sz w:val="22"/>
          <w:szCs w:val="22"/>
        </w:rPr>
      </w:pPr>
      <w:r>
        <w:rPr>
          <w:rFonts w:ascii="Arial" w:hAnsi="Arial"/>
          <w:sz w:val="22"/>
          <w:szCs w:val="22"/>
        </w:rPr>
        <w:t xml:space="preserve">powyżej 5 lat </w:t>
      </w:r>
    </w:p>
    <w:p w14:paraId="34071413" w14:textId="77777777" w:rsidR="00D03535" w:rsidRDefault="00D03535" w:rsidP="00D03535">
      <w:pPr>
        <w:rPr>
          <w:rFonts w:ascii="Arial" w:hAnsi="Arial"/>
          <w:b/>
          <w:bCs/>
          <w:i/>
          <w:iCs/>
          <w:sz w:val="22"/>
          <w:szCs w:val="22"/>
        </w:rPr>
      </w:pPr>
      <w:r>
        <w:rPr>
          <w:rFonts w:ascii="Arial" w:hAnsi="Arial"/>
          <w:i/>
          <w:iCs/>
          <w:sz w:val="22"/>
          <w:szCs w:val="22"/>
        </w:rPr>
        <w:t xml:space="preserve">Jednostka nie posiada zobowiązań długoterminowych o okresie spłaty powyżej 5 lat. </w:t>
      </w:r>
    </w:p>
    <w:p w14:paraId="1EF7E4BB" w14:textId="77777777" w:rsidR="00BF3391" w:rsidRDefault="00BF3391" w:rsidP="00D03535">
      <w:pPr>
        <w:rPr>
          <w:rFonts w:ascii="Arial" w:hAnsi="Arial"/>
          <w:b/>
          <w:bCs/>
          <w:i/>
          <w:iCs/>
          <w:sz w:val="22"/>
          <w:szCs w:val="22"/>
        </w:rPr>
      </w:pPr>
    </w:p>
    <w:p w14:paraId="0E99DAA6" w14:textId="56D40605" w:rsidR="00D03535" w:rsidRDefault="00D03535" w:rsidP="00BF3391">
      <w:pPr>
        <w:ind w:firstLine="709"/>
        <w:rPr>
          <w:rFonts w:ascii="Arial" w:hAnsi="Arial"/>
          <w:i/>
          <w:iCs/>
          <w:sz w:val="22"/>
          <w:szCs w:val="22"/>
        </w:rPr>
      </w:pPr>
      <w:r>
        <w:rPr>
          <w:rFonts w:ascii="Arial" w:hAnsi="Arial"/>
          <w:b/>
          <w:bCs/>
          <w:i/>
          <w:iCs/>
          <w:sz w:val="22"/>
          <w:szCs w:val="22"/>
        </w:rPr>
        <w:t xml:space="preserve">Tabela nr 11 </w:t>
      </w:r>
    </w:p>
    <w:p w14:paraId="3F65B931" w14:textId="77777777" w:rsidR="00D03535" w:rsidRDefault="00D03535" w:rsidP="00D03535">
      <w:pPr>
        <w:rPr>
          <w:rFonts w:ascii="Arial" w:hAnsi="Arial"/>
          <w:i/>
          <w:iCs/>
          <w:sz w:val="22"/>
          <w:szCs w:val="22"/>
        </w:rPr>
      </w:pPr>
    </w:p>
    <w:p w14:paraId="3C7E710E" w14:textId="05C8467D" w:rsidR="00D03535" w:rsidRDefault="00D03535" w:rsidP="00D03535">
      <w:pPr>
        <w:jc w:val="both"/>
        <w:rPr>
          <w:rFonts w:ascii="Arial" w:hAnsi="Arial"/>
          <w:i/>
          <w:iCs/>
          <w:sz w:val="22"/>
          <w:szCs w:val="22"/>
        </w:rPr>
      </w:pPr>
      <w:r>
        <w:rPr>
          <w:rFonts w:ascii="Arial" w:hAnsi="Arial"/>
          <w:sz w:val="22"/>
          <w:szCs w:val="22"/>
        </w:rPr>
        <w:t xml:space="preserve">1.10. Kwotę zobowiązań w sytuacji, gdy jednostka kwalifikuje umowy leasingu zgodnie z przepisami </w:t>
      </w:r>
      <w:r>
        <w:rPr>
          <w:rFonts w:ascii="Arial" w:hAnsi="Arial"/>
          <w:sz w:val="22"/>
          <w:szCs w:val="22"/>
        </w:rPr>
        <w:lastRenderedPageBreak/>
        <w:t xml:space="preserve">podatkowymi (leasing operacyjny), a według przepisów o rachunkowości byłby to leasing finansowy lub zwrotny z podziałem na kwotę zobowiązań z tytułu leasingu finansowego lub leasingu zwrotnego </w:t>
      </w:r>
    </w:p>
    <w:p w14:paraId="59C40146" w14:textId="77777777" w:rsidR="00D03535" w:rsidRDefault="00D03535" w:rsidP="00D03535">
      <w:pPr>
        <w:rPr>
          <w:rFonts w:ascii="Arial" w:hAnsi="Arial"/>
          <w:i/>
          <w:iCs/>
          <w:sz w:val="22"/>
          <w:szCs w:val="22"/>
        </w:rPr>
      </w:pPr>
    </w:p>
    <w:p w14:paraId="4F71B671"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Tabela nr 12-</w:t>
      </w:r>
      <w:r>
        <w:rPr>
          <w:rFonts w:ascii="Arial" w:hAnsi="Arial"/>
          <w:i/>
          <w:iCs/>
          <w:sz w:val="22"/>
          <w:szCs w:val="22"/>
        </w:rPr>
        <w:t xml:space="preserve"> Jednostka nie posiada zobowiązań z tytułu umów leasingu</w:t>
      </w:r>
      <w:r>
        <w:rPr>
          <w:rFonts w:ascii="Verdana" w:hAnsi="Verdana" w:cs="Times New Roman"/>
          <w:i/>
          <w:iCs/>
          <w:sz w:val="22"/>
          <w:szCs w:val="22"/>
        </w:rPr>
        <w:t>.</w:t>
      </w:r>
    </w:p>
    <w:p w14:paraId="5870E8FD" w14:textId="77777777" w:rsidR="00D03535" w:rsidRDefault="00D03535" w:rsidP="00D03535">
      <w:pPr>
        <w:rPr>
          <w:rFonts w:ascii="Arial" w:hAnsi="Arial"/>
          <w:i/>
          <w:iCs/>
          <w:sz w:val="22"/>
          <w:szCs w:val="22"/>
        </w:rPr>
      </w:pPr>
    </w:p>
    <w:p w14:paraId="7EA706E0" w14:textId="77777777" w:rsidR="00D03535" w:rsidRDefault="00D03535" w:rsidP="00D03535">
      <w:pPr>
        <w:jc w:val="both"/>
        <w:rPr>
          <w:rFonts w:ascii="Arial" w:hAnsi="Arial"/>
          <w:sz w:val="22"/>
          <w:szCs w:val="22"/>
        </w:rPr>
      </w:pPr>
      <w:r>
        <w:rPr>
          <w:rFonts w:ascii="Arial" w:hAnsi="Arial"/>
          <w:sz w:val="22"/>
          <w:szCs w:val="22"/>
        </w:rPr>
        <w:t xml:space="preserve">1.11. Łączną kwotę zobowiązań zabezpieczonych na majątku jednostki ze wskazaniem charakteru i formy tych zabezpieczeń. </w:t>
      </w:r>
    </w:p>
    <w:p w14:paraId="68BFBED3" w14:textId="77777777" w:rsidR="00D03535" w:rsidRDefault="00D03535" w:rsidP="00D03535">
      <w:pPr>
        <w:jc w:val="both"/>
        <w:rPr>
          <w:rFonts w:ascii="Arial" w:hAnsi="Arial"/>
          <w:sz w:val="22"/>
          <w:szCs w:val="22"/>
        </w:rPr>
      </w:pPr>
    </w:p>
    <w:p w14:paraId="1F08A3CF"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Tabela nr 13 -</w:t>
      </w:r>
      <w:r>
        <w:rPr>
          <w:rFonts w:ascii="Arial" w:hAnsi="Arial"/>
          <w:i/>
          <w:iCs/>
          <w:sz w:val="22"/>
          <w:szCs w:val="22"/>
        </w:rPr>
        <w:t xml:space="preserve"> Jednostka nie posiada zobowiązań zabezpieczonych na majątku jednostki.</w:t>
      </w:r>
    </w:p>
    <w:p w14:paraId="2980F90B" w14:textId="77777777" w:rsidR="00D03535" w:rsidRDefault="00D03535" w:rsidP="00D03535">
      <w:pPr>
        <w:rPr>
          <w:rFonts w:ascii="Arial" w:hAnsi="Arial"/>
          <w:i/>
          <w:iCs/>
          <w:sz w:val="22"/>
          <w:szCs w:val="22"/>
        </w:rPr>
      </w:pPr>
    </w:p>
    <w:p w14:paraId="53DEE15A" w14:textId="77777777" w:rsidR="00D03535" w:rsidRDefault="00D03535" w:rsidP="00D03535">
      <w:pPr>
        <w:jc w:val="both"/>
        <w:rPr>
          <w:rFonts w:ascii="Arial" w:hAnsi="Arial"/>
          <w:i/>
          <w:iCs/>
          <w:sz w:val="22"/>
          <w:szCs w:val="22"/>
        </w:rPr>
      </w:pPr>
      <w:r>
        <w:rPr>
          <w:rFonts w:ascii="Arial" w:hAnsi="Arial"/>
          <w:sz w:val="22"/>
          <w:szCs w:val="22"/>
        </w:rPr>
        <w:t xml:space="preserve">1.12. Łączną kwotę zobowiązań warunkowych, w tym również udzielonych przez jednostkę gwarancji i poręczeń, także wekslowych, niewykazanych w bilansie, ze wskazaniem zobowiązań zabezpieczonych na majątku jednostki oraz charakteru i formy tych zabezpieczeń </w:t>
      </w:r>
    </w:p>
    <w:p w14:paraId="2878290A" w14:textId="77777777" w:rsidR="00D03535" w:rsidRDefault="00D03535" w:rsidP="00D03535">
      <w:pPr>
        <w:rPr>
          <w:rFonts w:ascii="Arial" w:hAnsi="Arial"/>
          <w:i/>
          <w:iCs/>
          <w:sz w:val="22"/>
          <w:szCs w:val="22"/>
        </w:rPr>
      </w:pPr>
      <w:r>
        <w:rPr>
          <w:rFonts w:ascii="Arial" w:hAnsi="Arial"/>
          <w:i/>
          <w:iCs/>
          <w:sz w:val="22"/>
          <w:szCs w:val="22"/>
        </w:rPr>
        <w:tab/>
      </w:r>
    </w:p>
    <w:p w14:paraId="24CB3B54"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Tabela nr 14 </w:t>
      </w:r>
      <w:r>
        <w:rPr>
          <w:rFonts w:ascii="Arial" w:hAnsi="Arial"/>
          <w:i/>
          <w:iCs/>
          <w:sz w:val="22"/>
          <w:szCs w:val="22"/>
        </w:rPr>
        <w:t>- Jednostka nie posiada zobowiązań warunkowych.</w:t>
      </w:r>
    </w:p>
    <w:p w14:paraId="23AFBF10" w14:textId="77777777" w:rsidR="00D03535" w:rsidRDefault="00D03535" w:rsidP="00D03535">
      <w:pPr>
        <w:rPr>
          <w:rFonts w:ascii="Arial" w:hAnsi="Arial"/>
          <w:i/>
          <w:iCs/>
          <w:sz w:val="22"/>
          <w:szCs w:val="22"/>
        </w:rPr>
      </w:pPr>
    </w:p>
    <w:p w14:paraId="28418F79" w14:textId="77777777" w:rsidR="00D03535" w:rsidRDefault="00D03535" w:rsidP="00D03535">
      <w:pPr>
        <w:jc w:val="both"/>
        <w:rPr>
          <w:rFonts w:ascii="Arial" w:hAnsi="Arial"/>
          <w:i/>
          <w:iCs/>
          <w:sz w:val="22"/>
          <w:szCs w:val="22"/>
        </w:rPr>
      </w:pPr>
      <w:r>
        <w:rPr>
          <w:rFonts w:ascii="Arial" w:hAnsi="Arial"/>
          <w:sz w:val="22"/>
          <w:szCs w:val="22"/>
        </w:rPr>
        <w:t>1.13. Wykaz istotnych pozycji czynnych i biernych rozliczeń międzyokresowych, w tym kwotę czynnych rozliczeń międzyokresowych kosztów stanowiących różnicę między wartością otrzymanych finansowych składników aktywów a zobowiązaniem zapłaty za nie</w:t>
      </w:r>
      <w:r>
        <w:t xml:space="preserve">. </w:t>
      </w:r>
    </w:p>
    <w:p w14:paraId="7629D372" w14:textId="77777777" w:rsidR="00D03535" w:rsidRDefault="00D03535" w:rsidP="00D03535">
      <w:pPr>
        <w:rPr>
          <w:rFonts w:ascii="Arial" w:hAnsi="Arial"/>
          <w:i/>
          <w:iCs/>
          <w:sz w:val="22"/>
          <w:szCs w:val="22"/>
        </w:rPr>
      </w:pPr>
    </w:p>
    <w:p w14:paraId="3DA1A8FC" w14:textId="77777777" w:rsidR="00D03535" w:rsidRDefault="00D03535" w:rsidP="00D03535">
      <w:pPr>
        <w:ind w:left="750"/>
        <w:jc w:val="both"/>
        <w:rPr>
          <w:rFonts w:ascii="Arial" w:hAnsi="Arial"/>
          <w:i/>
          <w:iCs/>
          <w:sz w:val="22"/>
          <w:szCs w:val="22"/>
        </w:rPr>
      </w:pPr>
      <w:r>
        <w:rPr>
          <w:rFonts w:ascii="Arial" w:hAnsi="Arial"/>
          <w:b/>
          <w:bCs/>
          <w:sz w:val="22"/>
          <w:szCs w:val="22"/>
        </w:rPr>
        <w:t xml:space="preserve">Tabela nr 15 </w:t>
      </w:r>
      <w:r>
        <w:rPr>
          <w:rFonts w:ascii="Arial" w:hAnsi="Arial"/>
          <w:sz w:val="22"/>
          <w:szCs w:val="22"/>
        </w:rPr>
        <w:t>- Jednostka nie dokonywała istotnych czynnych i biernych rozliczeń międzyokresowych.</w:t>
      </w:r>
    </w:p>
    <w:p w14:paraId="7DDCAD06" w14:textId="77777777" w:rsidR="00D03535" w:rsidRDefault="00D03535" w:rsidP="00D03535">
      <w:pPr>
        <w:rPr>
          <w:rFonts w:ascii="Arial" w:hAnsi="Arial"/>
          <w:i/>
          <w:iCs/>
          <w:sz w:val="22"/>
          <w:szCs w:val="22"/>
        </w:rPr>
      </w:pPr>
    </w:p>
    <w:p w14:paraId="15E6CB73" w14:textId="77777777" w:rsidR="00D03535" w:rsidRDefault="00D03535" w:rsidP="00D03535">
      <w:pPr>
        <w:jc w:val="both"/>
        <w:rPr>
          <w:rFonts w:ascii="Arial" w:hAnsi="Arial"/>
          <w:sz w:val="22"/>
          <w:szCs w:val="22"/>
        </w:rPr>
      </w:pPr>
      <w:r>
        <w:rPr>
          <w:rFonts w:ascii="Arial" w:hAnsi="Arial"/>
          <w:sz w:val="22"/>
          <w:szCs w:val="22"/>
        </w:rPr>
        <w:t xml:space="preserve">1.14. Łączną kwotę otrzymanych przez jednostkę gwarancji i poręczeń niewykazanych w bilansie. </w:t>
      </w:r>
    </w:p>
    <w:p w14:paraId="5217AF73" w14:textId="77777777" w:rsidR="00D03535" w:rsidRDefault="00D03535" w:rsidP="00D03535">
      <w:pPr>
        <w:jc w:val="both"/>
        <w:rPr>
          <w:rFonts w:ascii="Arial" w:hAnsi="Arial"/>
          <w:sz w:val="22"/>
          <w:szCs w:val="22"/>
        </w:rPr>
      </w:pPr>
    </w:p>
    <w:p w14:paraId="71B2C337" w14:textId="77777777" w:rsidR="00D03535" w:rsidRDefault="00D03535" w:rsidP="00D03535">
      <w:pPr>
        <w:jc w:val="both"/>
        <w:rPr>
          <w:rFonts w:ascii="Arial" w:hAnsi="Arial"/>
          <w:i/>
          <w:iCs/>
          <w:sz w:val="22"/>
          <w:szCs w:val="22"/>
        </w:rPr>
      </w:pPr>
      <w:r>
        <w:rPr>
          <w:rFonts w:ascii="Arial" w:hAnsi="Arial"/>
          <w:i/>
          <w:iCs/>
          <w:sz w:val="22"/>
          <w:szCs w:val="22"/>
        </w:rPr>
        <w:tab/>
      </w:r>
      <w:bookmarkStart w:id="0" w:name="_Hlk97542292"/>
      <w:r>
        <w:rPr>
          <w:rFonts w:ascii="Arial" w:hAnsi="Arial"/>
          <w:b/>
          <w:bCs/>
          <w:i/>
          <w:iCs/>
          <w:sz w:val="22"/>
          <w:szCs w:val="22"/>
        </w:rPr>
        <w:t xml:space="preserve">Pozycja nr 1 w Tabeli nr 16 </w:t>
      </w:r>
      <w:bookmarkEnd w:id="0"/>
      <w:r>
        <w:rPr>
          <w:rFonts w:ascii="Arial" w:hAnsi="Arial"/>
          <w:i/>
          <w:iCs/>
          <w:sz w:val="22"/>
          <w:szCs w:val="22"/>
        </w:rPr>
        <w:t xml:space="preserve">- Jednostka nie otrzymała gwarancji i poręczeń </w:t>
      </w:r>
      <w:r>
        <w:rPr>
          <w:rFonts w:ascii="Arial" w:hAnsi="Arial"/>
          <w:i/>
          <w:iCs/>
          <w:sz w:val="22"/>
          <w:szCs w:val="22"/>
        </w:rPr>
        <w:tab/>
        <w:t>niewykazanych w bilansie</w:t>
      </w:r>
    </w:p>
    <w:p w14:paraId="71F7F928" w14:textId="77777777" w:rsidR="00D03535" w:rsidRDefault="00D03535" w:rsidP="00D03535">
      <w:pPr>
        <w:rPr>
          <w:rFonts w:ascii="Arial" w:hAnsi="Arial"/>
          <w:i/>
          <w:iCs/>
          <w:sz w:val="22"/>
          <w:szCs w:val="22"/>
        </w:rPr>
      </w:pPr>
    </w:p>
    <w:p w14:paraId="511E6E30" w14:textId="77777777" w:rsidR="00D03535" w:rsidRDefault="00D03535" w:rsidP="00D03535">
      <w:pPr>
        <w:jc w:val="both"/>
        <w:rPr>
          <w:rFonts w:ascii="Arial" w:hAnsi="Arial"/>
          <w:i/>
          <w:iCs/>
          <w:sz w:val="22"/>
          <w:szCs w:val="22"/>
        </w:rPr>
      </w:pPr>
      <w:r>
        <w:rPr>
          <w:rFonts w:ascii="Arial" w:hAnsi="Arial"/>
          <w:sz w:val="22"/>
          <w:szCs w:val="22"/>
        </w:rPr>
        <w:t xml:space="preserve">1.15. Kwotę wypłaconych środków pieniężnych na świadczenia pracownicze. </w:t>
      </w:r>
    </w:p>
    <w:p w14:paraId="17760E9E" w14:textId="77777777" w:rsidR="00D03535" w:rsidRDefault="00D03535" w:rsidP="00D03535">
      <w:pPr>
        <w:rPr>
          <w:rFonts w:ascii="Arial" w:hAnsi="Arial"/>
          <w:i/>
          <w:iCs/>
          <w:sz w:val="22"/>
          <w:szCs w:val="22"/>
        </w:rPr>
      </w:pPr>
    </w:p>
    <w:p w14:paraId="271B7B72"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Pozycja nr 2 w Tabeli nr 16</w:t>
      </w:r>
    </w:p>
    <w:p w14:paraId="645B9928" w14:textId="77777777" w:rsidR="00D03535" w:rsidRDefault="00D03535" w:rsidP="00D03535">
      <w:pPr>
        <w:rPr>
          <w:rFonts w:ascii="Arial" w:hAnsi="Arial"/>
          <w:i/>
          <w:iCs/>
          <w:sz w:val="22"/>
          <w:szCs w:val="22"/>
        </w:rPr>
      </w:pPr>
    </w:p>
    <w:p w14:paraId="62E6B2DB" w14:textId="21B7B56C" w:rsidR="00D03535" w:rsidRDefault="00D03535" w:rsidP="00BF4575">
      <w:pPr>
        <w:jc w:val="both"/>
        <w:rPr>
          <w:rFonts w:ascii="Arial" w:hAnsi="Arial"/>
          <w:sz w:val="22"/>
          <w:szCs w:val="22"/>
        </w:rPr>
      </w:pPr>
      <w:r>
        <w:rPr>
          <w:rFonts w:ascii="Arial" w:hAnsi="Arial"/>
          <w:sz w:val="22"/>
          <w:szCs w:val="22"/>
        </w:rPr>
        <w:t xml:space="preserve">1.16.Inne informacje </w:t>
      </w:r>
    </w:p>
    <w:p w14:paraId="1FB7A9EE" w14:textId="77777777" w:rsidR="00BF3391" w:rsidRDefault="00BF3391" w:rsidP="00BF4575">
      <w:pPr>
        <w:jc w:val="both"/>
        <w:rPr>
          <w:rFonts w:ascii="Arial" w:hAnsi="Arial"/>
          <w:i/>
          <w:iCs/>
          <w:sz w:val="22"/>
          <w:szCs w:val="22"/>
        </w:rPr>
      </w:pPr>
    </w:p>
    <w:p w14:paraId="47686941" w14:textId="16D8A00C" w:rsidR="00D03535" w:rsidRDefault="00BF3391" w:rsidP="00BF3391">
      <w:pPr>
        <w:ind w:firstLine="709"/>
        <w:rPr>
          <w:rFonts w:ascii="Arial" w:hAnsi="Arial"/>
          <w:i/>
          <w:iCs/>
          <w:sz w:val="22"/>
          <w:szCs w:val="22"/>
        </w:rPr>
      </w:pPr>
      <w:r>
        <w:rPr>
          <w:rFonts w:ascii="Arial" w:hAnsi="Arial"/>
          <w:b/>
          <w:bCs/>
          <w:i/>
          <w:iCs/>
          <w:sz w:val="22"/>
          <w:szCs w:val="22"/>
        </w:rPr>
        <w:t xml:space="preserve">Pozycja nr </w:t>
      </w:r>
      <w:r>
        <w:rPr>
          <w:rFonts w:ascii="Arial" w:hAnsi="Arial"/>
          <w:b/>
          <w:bCs/>
          <w:i/>
          <w:iCs/>
          <w:sz w:val="22"/>
          <w:szCs w:val="22"/>
        </w:rPr>
        <w:t>3</w:t>
      </w:r>
      <w:r>
        <w:rPr>
          <w:rFonts w:ascii="Arial" w:hAnsi="Arial"/>
          <w:b/>
          <w:bCs/>
          <w:i/>
          <w:iCs/>
          <w:sz w:val="22"/>
          <w:szCs w:val="22"/>
        </w:rPr>
        <w:t xml:space="preserve"> w Tabeli nr 16</w:t>
      </w:r>
      <w:r>
        <w:rPr>
          <w:rFonts w:ascii="Arial" w:hAnsi="Arial"/>
          <w:b/>
          <w:bCs/>
          <w:i/>
          <w:iCs/>
          <w:sz w:val="22"/>
          <w:szCs w:val="22"/>
        </w:rPr>
        <w:t xml:space="preserve"> – </w:t>
      </w:r>
      <w:r>
        <w:rPr>
          <w:rFonts w:ascii="Arial" w:hAnsi="Arial"/>
          <w:i/>
          <w:iCs/>
          <w:sz w:val="22"/>
          <w:szCs w:val="22"/>
        </w:rPr>
        <w:t>J</w:t>
      </w:r>
      <w:r w:rsidRPr="00BF3391">
        <w:rPr>
          <w:rFonts w:ascii="Arial" w:hAnsi="Arial"/>
          <w:i/>
          <w:iCs/>
          <w:sz w:val="22"/>
          <w:szCs w:val="22"/>
        </w:rPr>
        <w:t>ednostka nie składa dodatkowych informacji</w:t>
      </w:r>
      <w:r>
        <w:rPr>
          <w:rFonts w:ascii="Arial" w:hAnsi="Arial"/>
          <w:b/>
          <w:bCs/>
          <w:i/>
          <w:iCs/>
          <w:sz w:val="22"/>
          <w:szCs w:val="22"/>
        </w:rPr>
        <w:t xml:space="preserve"> </w:t>
      </w:r>
    </w:p>
    <w:p w14:paraId="0B9AB975" w14:textId="77777777" w:rsidR="00D03535" w:rsidRDefault="00D03535" w:rsidP="00D03535">
      <w:pPr>
        <w:numPr>
          <w:ilvl w:val="0"/>
          <w:numId w:val="5"/>
        </w:numPr>
      </w:pPr>
    </w:p>
    <w:p w14:paraId="49C984FC" w14:textId="77777777" w:rsidR="00D03535" w:rsidRDefault="00D03535" w:rsidP="00D03535">
      <w:pPr>
        <w:rPr>
          <w:rFonts w:ascii="Arial" w:hAnsi="Arial"/>
          <w:i/>
          <w:iCs/>
          <w:sz w:val="22"/>
          <w:szCs w:val="22"/>
        </w:rPr>
      </w:pPr>
    </w:p>
    <w:p w14:paraId="52FF9C53" w14:textId="77777777" w:rsidR="00D03535" w:rsidRDefault="00D03535" w:rsidP="00D03535">
      <w:pPr>
        <w:rPr>
          <w:rFonts w:ascii="Arial" w:hAnsi="Arial"/>
          <w:i/>
          <w:iCs/>
          <w:sz w:val="22"/>
          <w:szCs w:val="22"/>
        </w:rPr>
      </w:pPr>
      <w:r>
        <w:rPr>
          <w:rFonts w:ascii="Arial" w:hAnsi="Arial"/>
          <w:i/>
          <w:iCs/>
        </w:rPr>
        <w:t xml:space="preserve">2.1. Wysokość odpisów aktualizujących wartość zapasów. </w:t>
      </w:r>
    </w:p>
    <w:p w14:paraId="331D01C2" w14:textId="77777777" w:rsidR="00D03535" w:rsidRDefault="00D03535" w:rsidP="00D03535">
      <w:pPr>
        <w:rPr>
          <w:rFonts w:ascii="Arial" w:hAnsi="Arial"/>
          <w:i/>
          <w:iCs/>
          <w:sz w:val="22"/>
          <w:szCs w:val="22"/>
        </w:rPr>
      </w:pPr>
    </w:p>
    <w:p w14:paraId="7AD92EA3"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Pozycja nr 4 w Tabeli nr 16 </w:t>
      </w:r>
      <w:r>
        <w:rPr>
          <w:rFonts w:ascii="Arial" w:hAnsi="Arial"/>
          <w:i/>
          <w:iCs/>
          <w:sz w:val="22"/>
          <w:szCs w:val="22"/>
        </w:rPr>
        <w:t xml:space="preserve">– Jednostka nie dokonywała odpisów aktualizujących wartość </w:t>
      </w:r>
      <w:r>
        <w:rPr>
          <w:rFonts w:ascii="Arial" w:hAnsi="Arial"/>
          <w:i/>
          <w:iCs/>
          <w:sz w:val="22"/>
          <w:szCs w:val="22"/>
        </w:rPr>
        <w:tab/>
        <w:t xml:space="preserve">zapasów. </w:t>
      </w:r>
    </w:p>
    <w:p w14:paraId="78DF2822" w14:textId="77777777" w:rsidR="00D03535" w:rsidRDefault="00D03535" w:rsidP="00D03535">
      <w:pPr>
        <w:rPr>
          <w:rFonts w:ascii="Arial" w:hAnsi="Arial"/>
          <w:i/>
          <w:iCs/>
          <w:sz w:val="22"/>
          <w:szCs w:val="22"/>
        </w:rPr>
      </w:pPr>
    </w:p>
    <w:p w14:paraId="2413A98C" w14:textId="77777777" w:rsidR="00D03535" w:rsidRDefault="00D03535" w:rsidP="00D03535">
      <w:pPr>
        <w:rPr>
          <w:rFonts w:ascii="Arial" w:hAnsi="Arial"/>
          <w:i/>
          <w:iCs/>
          <w:sz w:val="22"/>
          <w:szCs w:val="22"/>
        </w:rPr>
      </w:pPr>
      <w:r>
        <w:rPr>
          <w:rFonts w:ascii="Arial" w:hAnsi="Arial"/>
          <w:sz w:val="22"/>
          <w:szCs w:val="22"/>
        </w:rPr>
        <w:t xml:space="preserve">2.2. Koszt wytworzenia środków trwałych w budowie, w tym odsetki oraz różnice kursowe, które powiększyły koszt wytworzenia środków trwałych w budowie w roku obrotowym. </w:t>
      </w:r>
    </w:p>
    <w:p w14:paraId="215C29D1" w14:textId="77777777" w:rsidR="00D03535" w:rsidRDefault="00D03535" w:rsidP="00D03535">
      <w:pPr>
        <w:rPr>
          <w:rFonts w:ascii="Arial" w:hAnsi="Arial"/>
          <w:i/>
          <w:iCs/>
          <w:sz w:val="22"/>
          <w:szCs w:val="22"/>
        </w:rPr>
      </w:pPr>
    </w:p>
    <w:p w14:paraId="67BCF51D"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 xml:space="preserve">Pozycja nr 5 w Tabeli nr 16 </w:t>
      </w:r>
      <w:r>
        <w:rPr>
          <w:rFonts w:ascii="Arial" w:hAnsi="Arial"/>
          <w:i/>
          <w:iCs/>
          <w:sz w:val="22"/>
          <w:szCs w:val="22"/>
        </w:rPr>
        <w:t xml:space="preserve">– Jednostka nie ponosiła kosztów wytworzenia środków </w:t>
      </w:r>
      <w:r>
        <w:rPr>
          <w:rFonts w:ascii="Arial" w:hAnsi="Arial"/>
          <w:i/>
          <w:iCs/>
          <w:sz w:val="22"/>
          <w:szCs w:val="22"/>
        </w:rPr>
        <w:tab/>
        <w:t xml:space="preserve">trwałych w budowie. </w:t>
      </w:r>
    </w:p>
    <w:p w14:paraId="57145098" w14:textId="77777777" w:rsidR="00D03535" w:rsidRDefault="00D03535" w:rsidP="00D03535">
      <w:pPr>
        <w:rPr>
          <w:rFonts w:ascii="Arial" w:hAnsi="Arial"/>
          <w:i/>
          <w:iCs/>
          <w:sz w:val="22"/>
          <w:szCs w:val="22"/>
        </w:rPr>
      </w:pPr>
    </w:p>
    <w:p w14:paraId="4164C91C" w14:textId="77777777" w:rsidR="00D03535" w:rsidRDefault="00D03535" w:rsidP="00D03535">
      <w:pPr>
        <w:rPr>
          <w:rFonts w:ascii="Arial" w:hAnsi="Arial"/>
          <w:i/>
          <w:iCs/>
          <w:sz w:val="22"/>
          <w:szCs w:val="22"/>
        </w:rPr>
      </w:pPr>
      <w:r>
        <w:rPr>
          <w:rFonts w:ascii="Arial" w:hAnsi="Arial"/>
          <w:sz w:val="22"/>
          <w:szCs w:val="22"/>
        </w:rPr>
        <w:t xml:space="preserve">2.3. Kwotę i charakter poszczególnych pozycji przychodów lub kosztów o nadzwyczajnej wartości lub które wystąpiły incydentalnie </w:t>
      </w:r>
    </w:p>
    <w:p w14:paraId="5284149B" w14:textId="77777777" w:rsidR="00D03535" w:rsidRDefault="00D03535" w:rsidP="00D03535">
      <w:pPr>
        <w:rPr>
          <w:rFonts w:ascii="Arial" w:hAnsi="Arial"/>
          <w:i/>
          <w:iCs/>
          <w:sz w:val="22"/>
          <w:szCs w:val="22"/>
        </w:rPr>
      </w:pPr>
    </w:p>
    <w:p w14:paraId="30176B8E" w14:textId="77777777" w:rsidR="00D03535" w:rsidRDefault="00D03535" w:rsidP="00D03535">
      <w:pPr>
        <w:jc w:val="both"/>
        <w:rPr>
          <w:rFonts w:ascii="Arial" w:hAnsi="Arial"/>
          <w:i/>
          <w:iCs/>
          <w:sz w:val="22"/>
          <w:szCs w:val="22"/>
        </w:rPr>
      </w:pPr>
      <w:r>
        <w:rPr>
          <w:rFonts w:ascii="Arial" w:hAnsi="Arial"/>
          <w:i/>
          <w:iCs/>
          <w:sz w:val="22"/>
          <w:szCs w:val="22"/>
        </w:rPr>
        <w:tab/>
      </w:r>
      <w:r>
        <w:rPr>
          <w:rFonts w:ascii="Arial" w:hAnsi="Arial"/>
          <w:b/>
          <w:bCs/>
          <w:i/>
          <w:iCs/>
          <w:sz w:val="22"/>
          <w:szCs w:val="22"/>
        </w:rPr>
        <w:t xml:space="preserve">Pozycja nr 6 w Tabeli nr 16 </w:t>
      </w:r>
      <w:r>
        <w:rPr>
          <w:rFonts w:ascii="Arial" w:hAnsi="Arial"/>
          <w:i/>
          <w:iCs/>
          <w:sz w:val="22"/>
          <w:szCs w:val="22"/>
        </w:rPr>
        <w:t xml:space="preserve">– w Jednostce nie wystąpiły przychody lub koszty </w:t>
      </w:r>
      <w:r>
        <w:rPr>
          <w:rFonts w:ascii="Arial" w:hAnsi="Arial"/>
          <w:i/>
          <w:iCs/>
          <w:sz w:val="22"/>
          <w:szCs w:val="22"/>
        </w:rPr>
        <w:tab/>
        <w:t>o nadzwyczajnej wartości oraz występujących incydentalnie</w:t>
      </w:r>
    </w:p>
    <w:p w14:paraId="0D85F9FC" w14:textId="77777777" w:rsidR="00D03535" w:rsidRDefault="00D03535" w:rsidP="00D03535">
      <w:pPr>
        <w:rPr>
          <w:rFonts w:ascii="Arial" w:hAnsi="Arial"/>
          <w:i/>
          <w:iCs/>
          <w:sz w:val="22"/>
          <w:szCs w:val="22"/>
        </w:rPr>
      </w:pPr>
    </w:p>
    <w:p w14:paraId="67D3F264" w14:textId="77777777" w:rsidR="00D03535" w:rsidRDefault="00D03535" w:rsidP="00D03535">
      <w:pPr>
        <w:rPr>
          <w:rFonts w:ascii="Arial" w:hAnsi="Arial"/>
          <w:i/>
          <w:iCs/>
          <w:sz w:val="22"/>
          <w:szCs w:val="22"/>
        </w:rPr>
      </w:pPr>
      <w:r>
        <w:rPr>
          <w:rFonts w:ascii="Arial" w:hAnsi="Arial"/>
          <w:sz w:val="22"/>
          <w:szCs w:val="22"/>
        </w:rPr>
        <w:t>2.4. Informację o kwocie należności z tytułu podatków realizowanych przez organy podatkowe podległe ministrowi właściwemu do spraw finansów publicznych wykazywanych w sprawozdaniu z wykonania planu dochodów budżetowych</w:t>
      </w:r>
      <w:r>
        <w:t xml:space="preserve"> </w:t>
      </w:r>
    </w:p>
    <w:p w14:paraId="4906C8DC" w14:textId="77777777" w:rsidR="00D03535" w:rsidRDefault="00D03535" w:rsidP="00D03535">
      <w:pPr>
        <w:rPr>
          <w:rFonts w:ascii="Arial" w:hAnsi="Arial"/>
          <w:i/>
          <w:iCs/>
          <w:sz w:val="22"/>
          <w:szCs w:val="22"/>
        </w:rPr>
      </w:pPr>
    </w:p>
    <w:p w14:paraId="2454744B" w14:textId="77777777" w:rsidR="00D03535" w:rsidRDefault="00D03535" w:rsidP="00D03535">
      <w:pPr>
        <w:jc w:val="both"/>
        <w:rPr>
          <w:rFonts w:ascii="Arial" w:hAnsi="Arial"/>
          <w:i/>
          <w:iCs/>
          <w:sz w:val="22"/>
          <w:szCs w:val="22"/>
        </w:rPr>
      </w:pPr>
      <w:r>
        <w:rPr>
          <w:rFonts w:ascii="Arial" w:hAnsi="Arial"/>
          <w:i/>
          <w:iCs/>
          <w:sz w:val="22"/>
          <w:szCs w:val="22"/>
        </w:rPr>
        <w:tab/>
      </w:r>
      <w:r>
        <w:rPr>
          <w:rFonts w:ascii="Arial" w:hAnsi="Arial"/>
          <w:b/>
          <w:bCs/>
          <w:i/>
          <w:iCs/>
          <w:sz w:val="22"/>
          <w:szCs w:val="22"/>
        </w:rPr>
        <w:t xml:space="preserve">Pozycja nr 7 w Tabeli nr 16 </w:t>
      </w:r>
      <w:r>
        <w:rPr>
          <w:rFonts w:ascii="Arial" w:hAnsi="Arial"/>
          <w:i/>
          <w:iCs/>
          <w:sz w:val="22"/>
          <w:szCs w:val="22"/>
        </w:rPr>
        <w:t xml:space="preserve">– Jednostka nie posiada należności z tytułu podatków </w:t>
      </w:r>
      <w:r>
        <w:rPr>
          <w:rFonts w:ascii="Arial" w:hAnsi="Arial"/>
          <w:i/>
          <w:iCs/>
          <w:sz w:val="22"/>
          <w:szCs w:val="22"/>
        </w:rPr>
        <w:tab/>
        <w:t xml:space="preserve">realizowanych przez organy podatkowe podległe ministrowi właściwemu do spraw </w:t>
      </w:r>
      <w:r>
        <w:rPr>
          <w:rFonts w:ascii="Arial" w:hAnsi="Arial"/>
          <w:i/>
          <w:iCs/>
          <w:sz w:val="22"/>
          <w:szCs w:val="22"/>
        </w:rPr>
        <w:tab/>
        <w:t>finansów publicznych</w:t>
      </w:r>
    </w:p>
    <w:p w14:paraId="56FE28F4" w14:textId="77777777" w:rsidR="00D03535" w:rsidRDefault="00D03535" w:rsidP="00D03535">
      <w:pPr>
        <w:rPr>
          <w:rFonts w:ascii="Arial" w:hAnsi="Arial"/>
          <w:i/>
          <w:iCs/>
          <w:sz w:val="22"/>
          <w:szCs w:val="22"/>
        </w:rPr>
      </w:pPr>
    </w:p>
    <w:p w14:paraId="6F75EBF5" w14:textId="77777777" w:rsidR="00D03535" w:rsidRDefault="00D03535" w:rsidP="00D03535">
      <w:pPr>
        <w:rPr>
          <w:rFonts w:ascii="Arial" w:hAnsi="Arial"/>
          <w:i/>
          <w:iCs/>
          <w:sz w:val="22"/>
          <w:szCs w:val="22"/>
        </w:rPr>
      </w:pPr>
      <w:r>
        <w:rPr>
          <w:rFonts w:ascii="Arial" w:hAnsi="Arial"/>
          <w:sz w:val="22"/>
          <w:szCs w:val="22"/>
        </w:rPr>
        <w:t xml:space="preserve">2.5. Inne informacje </w:t>
      </w:r>
    </w:p>
    <w:p w14:paraId="19EA159C" w14:textId="77777777" w:rsidR="00D03535" w:rsidRDefault="00D03535" w:rsidP="00D03535">
      <w:pPr>
        <w:rPr>
          <w:rFonts w:ascii="Arial" w:hAnsi="Arial"/>
          <w:i/>
          <w:iCs/>
          <w:sz w:val="22"/>
          <w:szCs w:val="22"/>
        </w:rPr>
      </w:pPr>
      <w:r>
        <w:rPr>
          <w:rFonts w:ascii="Arial" w:hAnsi="Arial"/>
          <w:i/>
          <w:iCs/>
          <w:sz w:val="22"/>
          <w:szCs w:val="22"/>
        </w:rPr>
        <w:tab/>
      </w:r>
    </w:p>
    <w:p w14:paraId="444BC209"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b/>
          <w:bCs/>
          <w:i/>
          <w:iCs/>
          <w:sz w:val="22"/>
          <w:szCs w:val="22"/>
        </w:rPr>
        <w:t>Pozycja nr 8 w Tabeli nr 16</w:t>
      </w:r>
    </w:p>
    <w:p w14:paraId="295FAE3C" w14:textId="77777777" w:rsidR="00D03535" w:rsidRDefault="00D03535" w:rsidP="00D03535">
      <w:pPr>
        <w:rPr>
          <w:rFonts w:ascii="Arial" w:hAnsi="Arial"/>
          <w:i/>
          <w:iCs/>
          <w:sz w:val="22"/>
          <w:szCs w:val="22"/>
        </w:rPr>
      </w:pPr>
    </w:p>
    <w:p w14:paraId="56ABFAE7" w14:textId="77777777" w:rsidR="00D03535" w:rsidRDefault="00D03535" w:rsidP="00D03535">
      <w:pPr>
        <w:numPr>
          <w:ilvl w:val="0"/>
          <w:numId w:val="5"/>
        </w:numPr>
        <w:rPr>
          <w:rFonts w:ascii="Arial" w:hAnsi="Arial"/>
          <w:i/>
          <w:iCs/>
          <w:sz w:val="22"/>
          <w:szCs w:val="22"/>
        </w:rPr>
      </w:pPr>
      <w:r>
        <w:rPr>
          <w:rFonts w:ascii="Arial" w:hAnsi="Arial"/>
          <w:sz w:val="22"/>
          <w:szCs w:val="22"/>
        </w:rPr>
        <w:t xml:space="preserve"> Inne informacje niż wymienione powyżej, jeżeli mogłyby </w:t>
      </w:r>
      <w:bookmarkStart w:id="1" w:name="_Hlk35333253"/>
      <w:r>
        <w:rPr>
          <w:rFonts w:ascii="Arial" w:hAnsi="Arial"/>
          <w:sz w:val="22"/>
          <w:szCs w:val="22"/>
        </w:rPr>
        <w:t>w istotny sposób wpłynąć na ocenę sytuacji majątkowej i finansowej oraz wynik finansowy jednostki</w:t>
      </w:r>
      <w:bookmarkEnd w:id="1"/>
      <w:r>
        <w:rPr>
          <w:rFonts w:ascii="Arial" w:hAnsi="Arial"/>
          <w:sz w:val="22"/>
          <w:szCs w:val="22"/>
        </w:rPr>
        <w:t xml:space="preserve">. </w:t>
      </w:r>
    </w:p>
    <w:p w14:paraId="1EC55838" w14:textId="77777777" w:rsidR="00D03535" w:rsidRDefault="00D03535" w:rsidP="00D03535">
      <w:pPr>
        <w:rPr>
          <w:rFonts w:ascii="Arial" w:hAnsi="Arial"/>
          <w:i/>
          <w:iCs/>
          <w:sz w:val="22"/>
          <w:szCs w:val="22"/>
        </w:rPr>
      </w:pPr>
      <w:r>
        <w:rPr>
          <w:rFonts w:ascii="Arial" w:hAnsi="Arial"/>
          <w:i/>
          <w:iCs/>
          <w:sz w:val="22"/>
          <w:szCs w:val="22"/>
        </w:rPr>
        <w:tab/>
      </w:r>
    </w:p>
    <w:p w14:paraId="13D63031" w14:textId="77777777" w:rsidR="00D03535" w:rsidRDefault="00D03535" w:rsidP="00D03535">
      <w:pPr>
        <w:jc w:val="both"/>
        <w:rPr>
          <w:rFonts w:ascii="Arial" w:hAnsi="Arial"/>
          <w:i/>
          <w:iCs/>
          <w:sz w:val="22"/>
          <w:szCs w:val="22"/>
        </w:rPr>
      </w:pPr>
      <w:r>
        <w:rPr>
          <w:rFonts w:ascii="Arial" w:hAnsi="Arial"/>
          <w:i/>
          <w:iCs/>
          <w:sz w:val="22"/>
          <w:szCs w:val="22"/>
        </w:rPr>
        <w:tab/>
      </w:r>
      <w:r>
        <w:rPr>
          <w:rFonts w:ascii="Arial" w:hAnsi="Arial"/>
          <w:b/>
          <w:bCs/>
          <w:i/>
          <w:iCs/>
          <w:sz w:val="22"/>
          <w:szCs w:val="22"/>
        </w:rPr>
        <w:t xml:space="preserve">Pozycja nr 9 w Tabeli nr 16 </w:t>
      </w:r>
      <w:r>
        <w:rPr>
          <w:rFonts w:ascii="Arial" w:hAnsi="Arial"/>
          <w:i/>
          <w:iCs/>
          <w:sz w:val="22"/>
          <w:szCs w:val="22"/>
        </w:rPr>
        <w:t xml:space="preserve">– w Jednostce nie wystąpiły inne zdarzenia, które mogłyby </w:t>
      </w:r>
      <w:r>
        <w:rPr>
          <w:rFonts w:ascii="Arial" w:hAnsi="Arial"/>
          <w:i/>
          <w:iCs/>
          <w:sz w:val="22"/>
          <w:szCs w:val="22"/>
        </w:rPr>
        <w:tab/>
        <w:t xml:space="preserve">w istotny sposób wpłynąć na ocenę sytuacji majątkowej i finansowej oraz wynik finansowy </w:t>
      </w:r>
      <w:r>
        <w:rPr>
          <w:rFonts w:ascii="Arial" w:hAnsi="Arial"/>
          <w:i/>
          <w:iCs/>
          <w:sz w:val="22"/>
          <w:szCs w:val="22"/>
        </w:rPr>
        <w:tab/>
        <w:t>jednostki</w:t>
      </w:r>
    </w:p>
    <w:p w14:paraId="1B038518" w14:textId="77777777" w:rsidR="00D03535" w:rsidRDefault="00D03535" w:rsidP="00D03535">
      <w:pPr>
        <w:jc w:val="both"/>
        <w:rPr>
          <w:rFonts w:ascii="Arial" w:hAnsi="Arial"/>
          <w:i/>
          <w:iCs/>
          <w:sz w:val="22"/>
          <w:szCs w:val="22"/>
        </w:rPr>
      </w:pPr>
    </w:p>
    <w:p w14:paraId="7115B385" w14:textId="77777777" w:rsidR="00D03535" w:rsidRDefault="00D03535" w:rsidP="00D03535">
      <w:pPr>
        <w:rPr>
          <w:rFonts w:ascii="Arial" w:hAnsi="Arial"/>
          <w:i/>
          <w:iCs/>
          <w:sz w:val="22"/>
          <w:szCs w:val="22"/>
        </w:rPr>
      </w:pPr>
    </w:p>
    <w:p w14:paraId="6894F24B" w14:textId="77777777" w:rsidR="00D03535" w:rsidRDefault="00D03535" w:rsidP="00D03535">
      <w:pPr>
        <w:rPr>
          <w:rFonts w:ascii="Arial" w:hAnsi="Arial"/>
          <w:i/>
          <w:iCs/>
          <w:sz w:val="22"/>
          <w:szCs w:val="22"/>
        </w:rPr>
      </w:pPr>
    </w:p>
    <w:p w14:paraId="3520268D"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t>…..............................</w:t>
      </w:r>
    </w:p>
    <w:p w14:paraId="2D73BA01" w14:textId="77777777" w:rsidR="00D03535" w:rsidRDefault="00D03535" w:rsidP="00D03535">
      <w:pPr>
        <w:rPr>
          <w:rFonts w:ascii="Arial" w:hAnsi="Arial"/>
          <w:i/>
          <w:iCs/>
          <w:sz w:val="22"/>
          <w:szCs w:val="22"/>
        </w:rPr>
      </w:pP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t xml:space="preserve"> (rok, miesiąc, dzień)</w:t>
      </w:r>
    </w:p>
    <w:p w14:paraId="4BB3767A" w14:textId="77777777" w:rsidR="00D03535" w:rsidRDefault="00D03535" w:rsidP="00D03535">
      <w:pPr>
        <w:rPr>
          <w:rFonts w:ascii="Arial" w:hAnsi="Arial"/>
          <w:i/>
          <w:iCs/>
          <w:sz w:val="22"/>
          <w:szCs w:val="22"/>
        </w:rPr>
      </w:pPr>
    </w:p>
    <w:p w14:paraId="3ED5166A" w14:textId="77777777" w:rsidR="00D03535" w:rsidRDefault="00D03535" w:rsidP="00D03535">
      <w:pPr>
        <w:rPr>
          <w:rFonts w:ascii="Arial" w:hAnsi="Arial"/>
          <w:i/>
          <w:iCs/>
          <w:sz w:val="22"/>
          <w:szCs w:val="22"/>
        </w:rPr>
      </w:pPr>
    </w:p>
    <w:p w14:paraId="0FC9B029" w14:textId="77777777" w:rsidR="00D03535" w:rsidRDefault="00D03535" w:rsidP="00D03535">
      <w:pPr>
        <w:rPr>
          <w:rFonts w:ascii="Arial" w:hAnsi="Arial"/>
          <w:i/>
          <w:iCs/>
          <w:sz w:val="22"/>
          <w:szCs w:val="22"/>
        </w:rPr>
      </w:pPr>
      <w:r>
        <w:rPr>
          <w:rFonts w:ascii="Arial" w:hAnsi="Arial"/>
          <w:i/>
          <w:iCs/>
          <w:sz w:val="22"/>
          <w:szCs w:val="22"/>
        </w:rPr>
        <w:tab/>
        <w:t>.....................................</w:t>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t>….................................</w:t>
      </w:r>
    </w:p>
    <w:p w14:paraId="4777CB98" w14:textId="77777777" w:rsidR="00D03535" w:rsidRDefault="00D03535" w:rsidP="00D03535">
      <w:pPr>
        <w:rPr>
          <w:rFonts w:ascii="Arial" w:hAnsi="Arial"/>
          <w:i/>
          <w:iCs/>
          <w:sz w:val="22"/>
          <w:szCs w:val="22"/>
        </w:rPr>
      </w:pPr>
      <w:r>
        <w:rPr>
          <w:rFonts w:ascii="Arial" w:hAnsi="Arial"/>
          <w:i/>
          <w:iCs/>
          <w:sz w:val="22"/>
          <w:szCs w:val="22"/>
        </w:rPr>
        <w:tab/>
        <w:t xml:space="preserve">(główny księgowy) </w:t>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r>
      <w:r>
        <w:rPr>
          <w:rFonts w:ascii="Arial" w:hAnsi="Arial"/>
          <w:i/>
          <w:iCs/>
          <w:sz w:val="22"/>
          <w:szCs w:val="22"/>
        </w:rPr>
        <w:tab/>
        <w:t xml:space="preserve"> (kierownik jednostki) </w:t>
      </w:r>
    </w:p>
    <w:p w14:paraId="59CA509F" w14:textId="77777777" w:rsidR="00D03535" w:rsidRDefault="00D03535" w:rsidP="00D03535">
      <w:pPr>
        <w:rPr>
          <w:rFonts w:ascii="Arial" w:hAnsi="Arial"/>
          <w:i/>
          <w:iCs/>
          <w:sz w:val="22"/>
          <w:szCs w:val="22"/>
        </w:rPr>
      </w:pPr>
    </w:p>
    <w:p w14:paraId="4183CBC3" w14:textId="77777777" w:rsidR="00D03535" w:rsidRDefault="00D03535" w:rsidP="00D03535">
      <w:pPr>
        <w:rPr>
          <w:rFonts w:ascii="Arial" w:hAnsi="Arial"/>
          <w:i/>
          <w:iCs/>
          <w:sz w:val="22"/>
          <w:szCs w:val="22"/>
        </w:rPr>
      </w:pPr>
    </w:p>
    <w:p w14:paraId="782CD62C" w14:textId="77777777" w:rsidR="00D03535" w:rsidRDefault="00D03535" w:rsidP="00D03535"/>
    <w:p w14:paraId="44844D26" w14:textId="77777777" w:rsidR="00D03535" w:rsidRDefault="00D03535"/>
    <w:sectPr w:rsidR="00D03535">
      <w:footerReference w:type="default" r:id="rId7"/>
      <w:pgSz w:w="11906" w:h="16838"/>
      <w:pgMar w:top="993" w:right="1134" w:bottom="1133" w:left="1134" w:header="708" w:footer="56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30536" w14:textId="77777777" w:rsidR="00000000" w:rsidRDefault="00BF3391">
      <w:r>
        <w:separator/>
      </w:r>
    </w:p>
  </w:endnote>
  <w:endnote w:type="continuationSeparator" w:id="0">
    <w:p w14:paraId="4C2B7578" w14:textId="77777777" w:rsidR="00000000" w:rsidRDefault="00BF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14A1F" w14:textId="77777777" w:rsidR="00484011" w:rsidRDefault="00BF4575">
    <w:pPr>
      <w:pStyle w:val="Stopka"/>
      <w:jc w:val="right"/>
      <w:rPr>
        <w:rFonts w:ascii="Arial" w:hAnsi="Arial"/>
        <w:sz w:val="18"/>
        <w:szCs w:val="18"/>
      </w:rPr>
    </w:pPr>
    <w:r>
      <w:t>________________________________________________________________________________</w:t>
    </w:r>
  </w:p>
  <w:p w14:paraId="77257614" w14:textId="77777777" w:rsidR="00484011" w:rsidRDefault="00BF4575">
    <w:pPr>
      <w:pStyle w:val="Stopka"/>
      <w:jc w:val="right"/>
    </w:pPr>
    <w:r>
      <w:rPr>
        <w:rFonts w:ascii="Arial" w:hAnsi="Arial"/>
        <w:sz w:val="18"/>
        <w:szCs w:val="18"/>
      </w:rPr>
      <w:t xml:space="preserve"> strona </w:t>
    </w:r>
    <w:r>
      <w:rPr>
        <w:sz w:val="18"/>
        <w:szCs w:val="18"/>
      </w:rPr>
      <w:fldChar w:fldCharType="begin"/>
    </w:r>
    <w:r>
      <w:rPr>
        <w:sz w:val="18"/>
        <w:szCs w:val="18"/>
      </w:rPr>
      <w:instrText xml:space="preserve"> PAGE </w:instrText>
    </w:r>
    <w:r>
      <w:rPr>
        <w:sz w:val="18"/>
        <w:szCs w:val="18"/>
      </w:rPr>
      <w:fldChar w:fldCharType="separate"/>
    </w:r>
    <w:r>
      <w:rPr>
        <w:sz w:val="18"/>
        <w:szCs w:val="18"/>
      </w:rPr>
      <w:t>6</w:t>
    </w:r>
    <w:r>
      <w:rPr>
        <w:sz w:val="18"/>
        <w:szCs w:val="18"/>
      </w:rPr>
      <w:fldChar w:fldCharType="end"/>
    </w:r>
    <w:r>
      <w:rPr>
        <w:rFonts w:ascii="Arial" w:hAnsi="Arial"/>
        <w:sz w:val="18"/>
        <w:szCs w:val="18"/>
      </w:rPr>
      <w:t xml:space="preserve"> z </w:t>
    </w:r>
    <w:r>
      <w:rPr>
        <w:sz w:val="18"/>
        <w:szCs w:val="18"/>
      </w:rPr>
      <w:fldChar w:fldCharType="begin"/>
    </w:r>
    <w:r>
      <w:rPr>
        <w:sz w:val="18"/>
        <w:szCs w:val="18"/>
      </w:rPr>
      <w:instrText xml:space="preserve"> NUMPAGES </w:instrText>
    </w:r>
    <w:r>
      <w:rPr>
        <w:sz w:val="18"/>
        <w:szCs w:val="18"/>
      </w:rPr>
      <w:fldChar w:fldCharType="separate"/>
    </w:r>
    <w:r>
      <w:rPr>
        <w:sz w:val="18"/>
        <w:szCs w:val="18"/>
      </w:rPr>
      <w:t>6</w:t>
    </w:r>
    <w:r>
      <w:rPr>
        <w:sz w:val="18"/>
        <w:szCs w:val="18"/>
      </w:rPr>
      <w:fldChar w:fldCharType="end"/>
    </w:r>
  </w:p>
  <w:p w14:paraId="732FCFFA" w14:textId="77777777" w:rsidR="00484011" w:rsidRDefault="0048401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EDC72" w14:textId="77777777" w:rsidR="00000000" w:rsidRDefault="00BF3391">
      <w:r>
        <w:separator/>
      </w:r>
    </w:p>
  </w:footnote>
  <w:footnote w:type="continuationSeparator" w:id="0">
    <w:p w14:paraId="28CD3437" w14:textId="77777777" w:rsidR="00000000" w:rsidRDefault="00BF3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647"/>
        </w:tabs>
        <w:ind w:left="647" w:hanging="360"/>
      </w:pPr>
      <w:rPr>
        <w:rFonts w:ascii="Symbol" w:hAnsi="Symbol" w:cs="OpenSymbol"/>
      </w:rPr>
    </w:lvl>
    <w:lvl w:ilvl="1">
      <w:start w:val="1"/>
      <w:numFmt w:val="lowerLetter"/>
      <w:lvlText w:val="%2)"/>
      <w:lvlJc w:val="left"/>
      <w:pPr>
        <w:tabs>
          <w:tab w:val="num" w:pos="1007"/>
        </w:tabs>
        <w:ind w:left="1007" w:hanging="360"/>
      </w:pPr>
    </w:lvl>
    <w:lvl w:ilvl="2">
      <w:start w:val="1"/>
      <w:numFmt w:val="bullet"/>
      <w:lvlText w:val="▪"/>
      <w:lvlJc w:val="left"/>
      <w:pPr>
        <w:tabs>
          <w:tab w:val="num" w:pos="1367"/>
        </w:tabs>
        <w:ind w:left="1367" w:hanging="360"/>
      </w:pPr>
      <w:rPr>
        <w:rFonts w:ascii="OpenSymbol" w:hAnsi="OpenSymbol" w:cs="OpenSymbol"/>
      </w:rPr>
    </w:lvl>
    <w:lvl w:ilvl="3">
      <w:start w:val="1"/>
      <w:numFmt w:val="bullet"/>
      <w:lvlText w:val=""/>
      <w:lvlJc w:val="left"/>
      <w:pPr>
        <w:tabs>
          <w:tab w:val="num" w:pos="1727"/>
        </w:tabs>
        <w:ind w:left="1727" w:hanging="360"/>
      </w:pPr>
      <w:rPr>
        <w:rFonts w:ascii="Symbol" w:hAnsi="Symbol" w:cs="OpenSymbol"/>
      </w:rPr>
    </w:lvl>
    <w:lvl w:ilvl="4">
      <w:start w:val="1"/>
      <w:numFmt w:val="bullet"/>
      <w:lvlText w:val="◦"/>
      <w:lvlJc w:val="left"/>
      <w:pPr>
        <w:tabs>
          <w:tab w:val="num" w:pos="2087"/>
        </w:tabs>
        <w:ind w:left="2087" w:hanging="360"/>
      </w:pPr>
      <w:rPr>
        <w:rFonts w:ascii="OpenSymbol" w:hAnsi="OpenSymbol" w:cs="OpenSymbol"/>
      </w:rPr>
    </w:lvl>
    <w:lvl w:ilvl="5">
      <w:start w:val="1"/>
      <w:numFmt w:val="bullet"/>
      <w:lvlText w:val="▪"/>
      <w:lvlJc w:val="left"/>
      <w:pPr>
        <w:tabs>
          <w:tab w:val="num" w:pos="2447"/>
        </w:tabs>
        <w:ind w:left="2447" w:hanging="360"/>
      </w:pPr>
      <w:rPr>
        <w:rFonts w:ascii="OpenSymbol" w:hAnsi="OpenSymbol" w:cs="OpenSymbol"/>
      </w:rPr>
    </w:lvl>
    <w:lvl w:ilvl="6">
      <w:start w:val="1"/>
      <w:numFmt w:val="bullet"/>
      <w:lvlText w:val=""/>
      <w:lvlJc w:val="left"/>
      <w:pPr>
        <w:tabs>
          <w:tab w:val="num" w:pos="2807"/>
        </w:tabs>
        <w:ind w:left="2807" w:hanging="360"/>
      </w:pPr>
      <w:rPr>
        <w:rFonts w:ascii="Symbol" w:hAnsi="Symbol" w:cs="OpenSymbol"/>
      </w:rPr>
    </w:lvl>
    <w:lvl w:ilvl="7">
      <w:start w:val="1"/>
      <w:numFmt w:val="bullet"/>
      <w:lvlText w:val="◦"/>
      <w:lvlJc w:val="left"/>
      <w:pPr>
        <w:tabs>
          <w:tab w:val="num" w:pos="3167"/>
        </w:tabs>
        <w:ind w:left="3167" w:hanging="360"/>
      </w:pPr>
      <w:rPr>
        <w:rFonts w:ascii="OpenSymbol" w:hAnsi="OpenSymbol" w:cs="OpenSymbol"/>
      </w:rPr>
    </w:lvl>
    <w:lvl w:ilvl="8">
      <w:start w:val="1"/>
      <w:numFmt w:val="bullet"/>
      <w:lvlText w:val="▪"/>
      <w:lvlJc w:val="left"/>
      <w:pPr>
        <w:tabs>
          <w:tab w:val="num" w:pos="3527"/>
        </w:tabs>
        <w:ind w:left="3527" w:hanging="360"/>
      </w:pPr>
      <w:rPr>
        <w:rFonts w:ascii="OpenSymbol" w:hAnsi="OpenSymbol" w:cs="OpenSymbol"/>
      </w:rPr>
    </w:lvl>
  </w:abstractNum>
  <w:abstractNum w:abstractNumId="3" w15:restartNumberingAfterBreak="0">
    <w:nsid w:val="00000005"/>
    <w:multiLevelType w:val="multilevel"/>
    <w:tmpl w:val="0000000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00000007"/>
    <w:lvl w:ilvl="0">
      <w:start w:val="1"/>
      <w:numFmt w:val="lowerLetter"/>
      <w:lvlText w:val="%1)"/>
      <w:lvlJc w:val="left"/>
      <w:pPr>
        <w:tabs>
          <w:tab w:val="num" w:pos="1146"/>
        </w:tabs>
        <w:ind w:left="1146" w:hanging="360"/>
      </w:pPr>
    </w:lvl>
    <w:lvl w:ilvl="1">
      <w:start w:val="1"/>
      <w:numFmt w:val="bullet"/>
      <w:lvlText w:val="◦"/>
      <w:lvlJc w:val="left"/>
      <w:pPr>
        <w:tabs>
          <w:tab w:val="num" w:pos="1506"/>
        </w:tabs>
        <w:ind w:left="1506" w:hanging="360"/>
      </w:pPr>
      <w:rPr>
        <w:rFonts w:ascii="OpenSymbol" w:hAnsi="OpenSymbol" w:cs="OpenSymbol"/>
      </w:rPr>
    </w:lvl>
    <w:lvl w:ilvl="2">
      <w:start w:val="1"/>
      <w:numFmt w:val="bullet"/>
      <w:lvlText w:val="▪"/>
      <w:lvlJc w:val="left"/>
      <w:pPr>
        <w:tabs>
          <w:tab w:val="num" w:pos="1866"/>
        </w:tabs>
        <w:ind w:left="1866" w:hanging="360"/>
      </w:pPr>
      <w:rPr>
        <w:rFonts w:ascii="OpenSymbol" w:hAnsi="OpenSymbol" w:cs="OpenSymbol"/>
      </w:rPr>
    </w:lvl>
    <w:lvl w:ilvl="3">
      <w:start w:val="1"/>
      <w:numFmt w:val="bullet"/>
      <w:lvlText w:val=""/>
      <w:lvlJc w:val="left"/>
      <w:pPr>
        <w:tabs>
          <w:tab w:val="num" w:pos="2226"/>
        </w:tabs>
        <w:ind w:left="2226" w:hanging="360"/>
      </w:pPr>
      <w:rPr>
        <w:rFonts w:ascii="Symbol" w:hAnsi="Symbol" w:cs="OpenSymbol"/>
      </w:rPr>
    </w:lvl>
    <w:lvl w:ilvl="4">
      <w:start w:val="1"/>
      <w:numFmt w:val="bullet"/>
      <w:lvlText w:val="◦"/>
      <w:lvlJc w:val="left"/>
      <w:pPr>
        <w:tabs>
          <w:tab w:val="num" w:pos="2586"/>
        </w:tabs>
        <w:ind w:left="2586" w:hanging="360"/>
      </w:pPr>
      <w:rPr>
        <w:rFonts w:ascii="OpenSymbol" w:hAnsi="OpenSymbol" w:cs="OpenSymbol"/>
      </w:rPr>
    </w:lvl>
    <w:lvl w:ilvl="5">
      <w:start w:val="1"/>
      <w:numFmt w:val="bullet"/>
      <w:lvlText w:val="▪"/>
      <w:lvlJc w:val="left"/>
      <w:pPr>
        <w:tabs>
          <w:tab w:val="num" w:pos="2946"/>
        </w:tabs>
        <w:ind w:left="2946" w:hanging="360"/>
      </w:pPr>
      <w:rPr>
        <w:rFonts w:ascii="OpenSymbol" w:hAnsi="OpenSymbol" w:cs="OpenSymbol"/>
      </w:rPr>
    </w:lvl>
    <w:lvl w:ilvl="6">
      <w:start w:val="1"/>
      <w:numFmt w:val="bullet"/>
      <w:lvlText w:val=""/>
      <w:lvlJc w:val="left"/>
      <w:pPr>
        <w:tabs>
          <w:tab w:val="num" w:pos="3306"/>
        </w:tabs>
        <w:ind w:left="3306" w:hanging="360"/>
      </w:pPr>
      <w:rPr>
        <w:rFonts w:ascii="Symbol" w:hAnsi="Symbol" w:cs="OpenSymbol"/>
      </w:rPr>
    </w:lvl>
    <w:lvl w:ilvl="7">
      <w:start w:val="1"/>
      <w:numFmt w:val="bullet"/>
      <w:lvlText w:val="◦"/>
      <w:lvlJc w:val="left"/>
      <w:pPr>
        <w:tabs>
          <w:tab w:val="num" w:pos="3666"/>
        </w:tabs>
        <w:ind w:left="3666" w:hanging="360"/>
      </w:pPr>
      <w:rPr>
        <w:rFonts w:ascii="OpenSymbol" w:hAnsi="OpenSymbol" w:cs="OpenSymbol"/>
      </w:rPr>
    </w:lvl>
    <w:lvl w:ilvl="8">
      <w:start w:val="1"/>
      <w:numFmt w:val="bullet"/>
      <w:lvlText w:val="▪"/>
      <w:lvlJc w:val="left"/>
      <w:pPr>
        <w:tabs>
          <w:tab w:val="num" w:pos="4026"/>
        </w:tabs>
        <w:ind w:left="4026"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35"/>
    <w:rsid w:val="00484011"/>
    <w:rsid w:val="00BF3391"/>
    <w:rsid w:val="00BF4575"/>
    <w:rsid w:val="00D035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9E74D"/>
  <w15:chartTrackingRefBased/>
  <w15:docId w15:val="{94275B5E-09DE-4833-9097-3099A0697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3535"/>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03535"/>
    <w:pPr>
      <w:suppressLineNumbers/>
      <w:tabs>
        <w:tab w:val="center" w:pos="4819"/>
        <w:tab w:val="right" w:pos="9638"/>
      </w:tabs>
    </w:pPr>
  </w:style>
  <w:style w:type="character" w:customStyle="1" w:styleId="StopkaZnak">
    <w:name w:val="Stopka Znak"/>
    <w:basedOn w:val="Domylnaczcionkaakapitu"/>
    <w:link w:val="Stopka"/>
    <w:rsid w:val="00D03535"/>
    <w:rPr>
      <w:rFonts w:ascii="Times New Roman" w:eastAsia="SimSun"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2165</Words>
  <Characters>12994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2022-03-01T12:10:00Z</dcterms:created>
  <dcterms:modified xsi:type="dcterms:W3CDTF">2022-03-07T09:47:00Z</dcterms:modified>
</cp:coreProperties>
</file>